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F9F45">
      <w:pPr>
        <w:jc w:val="center"/>
        <w:rPr>
          <w:rFonts w:hint="eastAsia" w:ascii="黑体" w:hAnsi="黑体" w:eastAsia="黑体"/>
          <w:sz w:val="52"/>
          <w:szCs w:val="52"/>
          <w:highlight w:val="none"/>
        </w:rPr>
      </w:pPr>
      <w:bookmarkStart w:id="0" w:name="_Toc351103051"/>
      <w:r>
        <w:rPr>
          <w:rFonts w:hint="eastAsia" w:ascii="黑体" w:hAnsi="黑体" w:eastAsia="黑体"/>
          <w:b/>
          <w:bCs/>
          <w:sz w:val="28"/>
          <w:szCs w:val="28"/>
          <w:highlight w:val="none"/>
        </w:rPr>
        <w:t xml:space="preserve">                                 项目编号：LY-ZCB-2026016  </w:t>
      </w:r>
    </w:p>
    <w:p w14:paraId="7ACDDF86">
      <w:pPr>
        <w:spacing w:after="120" w:afterLines="50"/>
        <w:jc w:val="center"/>
        <w:rPr>
          <w:rFonts w:hint="eastAsia" w:ascii="黑体" w:hAnsi="黑体" w:eastAsia="黑体"/>
          <w:sz w:val="52"/>
          <w:szCs w:val="52"/>
          <w:highlight w:val="none"/>
        </w:rPr>
      </w:pPr>
    </w:p>
    <w:p w14:paraId="47050021">
      <w:pPr>
        <w:spacing w:after="120" w:afterLines="50"/>
        <w:jc w:val="center"/>
        <w:rPr>
          <w:rFonts w:hint="eastAsia" w:ascii="黑体" w:hAnsi="黑体" w:eastAsia="黑体"/>
          <w:sz w:val="52"/>
          <w:szCs w:val="52"/>
          <w:highlight w:val="none"/>
        </w:rPr>
      </w:pPr>
      <w:r>
        <w:rPr>
          <w:rFonts w:hint="eastAsia" w:ascii="黑体" w:hAnsi="黑体" w:eastAsia="黑体"/>
          <w:sz w:val="52"/>
          <w:szCs w:val="52"/>
          <w:highlight w:val="none"/>
        </w:rPr>
        <w:t>郎溪县人民医院医共体基础设施提升改造项目EPC监理服务采购项目</w:t>
      </w:r>
    </w:p>
    <w:p w14:paraId="25E2D3EC">
      <w:pPr>
        <w:pStyle w:val="14"/>
        <w:ind w:left="1260"/>
        <w:rPr>
          <w:highlight w:val="none"/>
        </w:rPr>
      </w:pPr>
    </w:p>
    <w:p w14:paraId="09E8C7B9">
      <w:pPr>
        <w:tabs>
          <w:tab w:val="left" w:pos="1750"/>
        </w:tabs>
        <w:jc w:val="center"/>
        <w:rPr>
          <w:rFonts w:hint="eastAsia" w:ascii="宋体" w:hAnsi="宋体"/>
          <w:sz w:val="84"/>
          <w:szCs w:val="84"/>
          <w:highlight w:val="none"/>
        </w:rPr>
      </w:pPr>
      <w:r>
        <w:rPr>
          <w:rFonts w:hint="eastAsia" w:ascii="宋体" w:hAnsi="宋体"/>
          <w:sz w:val="84"/>
          <w:szCs w:val="84"/>
          <w:highlight w:val="none"/>
        </w:rPr>
        <w:t>磋</w:t>
      </w:r>
    </w:p>
    <w:p w14:paraId="4242C685">
      <w:pPr>
        <w:tabs>
          <w:tab w:val="left" w:pos="1750"/>
        </w:tabs>
        <w:jc w:val="center"/>
        <w:rPr>
          <w:rFonts w:hint="eastAsia" w:ascii="宋体" w:hAnsi="宋体"/>
          <w:sz w:val="84"/>
          <w:szCs w:val="84"/>
          <w:highlight w:val="none"/>
        </w:rPr>
      </w:pPr>
    </w:p>
    <w:p w14:paraId="16C6ACA4">
      <w:pPr>
        <w:jc w:val="center"/>
        <w:rPr>
          <w:rFonts w:hint="eastAsia" w:ascii="宋体" w:hAnsi="宋体"/>
          <w:sz w:val="74"/>
          <w:szCs w:val="74"/>
          <w:highlight w:val="none"/>
        </w:rPr>
      </w:pPr>
      <w:r>
        <w:rPr>
          <w:rFonts w:hint="eastAsia" w:ascii="宋体" w:hAnsi="宋体"/>
          <w:sz w:val="74"/>
          <w:szCs w:val="74"/>
          <w:highlight w:val="none"/>
        </w:rPr>
        <w:t>商</w:t>
      </w:r>
    </w:p>
    <w:p w14:paraId="5ED9DEA0">
      <w:pPr>
        <w:jc w:val="center"/>
        <w:rPr>
          <w:rFonts w:hint="eastAsia" w:ascii="宋体" w:hAnsi="宋体"/>
          <w:sz w:val="74"/>
          <w:szCs w:val="74"/>
          <w:highlight w:val="none"/>
        </w:rPr>
      </w:pPr>
      <w:r>
        <w:rPr>
          <w:rFonts w:hint="eastAsia" w:ascii="宋体" w:hAnsi="宋体"/>
          <w:sz w:val="74"/>
          <w:szCs w:val="74"/>
          <w:highlight w:val="none"/>
        </w:rPr>
        <w:t xml:space="preserve">                                                                                                                                                                                                                                                                             </w:t>
      </w:r>
    </w:p>
    <w:p w14:paraId="673E922A">
      <w:pPr>
        <w:jc w:val="center"/>
        <w:rPr>
          <w:rFonts w:hint="eastAsia" w:ascii="宋体" w:hAnsi="宋体"/>
          <w:sz w:val="74"/>
          <w:szCs w:val="74"/>
          <w:highlight w:val="none"/>
        </w:rPr>
      </w:pPr>
      <w:r>
        <w:rPr>
          <w:rFonts w:hint="eastAsia" w:ascii="宋体" w:hAnsi="宋体"/>
          <w:sz w:val="74"/>
          <w:szCs w:val="74"/>
          <w:highlight w:val="none"/>
        </w:rPr>
        <w:t>文</w:t>
      </w:r>
    </w:p>
    <w:p w14:paraId="667A40A1">
      <w:pPr>
        <w:jc w:val="center"/>
        <w:rPr>
          <w:rFonts w:hint="eastAsia" w:ascii="宋体" w:hAnsi="宋体"/>
          <w:sz w:val="74"/>
          <w:szCs w:val="74"/>
          <w:highlight w:val="none"/>
        </w:rPr>
      </w:pPr>
    </w:p>
    <w:p w14:paraId="7B0E457D">
      <w:pPr>
        <w:jc w:val="center"/>
        <w:rPr>
          <w:rFonts w:hint="eastAsia" w:ascii="黑体" w:hAnsi="黑体" w:eastAsia="黑体" w:cs="黑体"/>
          <w:kern w:val="0"/>
          <w:sz w:val="32"/>
          <w:highlight w:val="none"/>
        </w:rPr>
      </w:pPr>
      <w:r>
        <w:rPr>
          <w:rFonts w:hint="eastAsia" w:ascii="宋体" w:hAnsi="宋体"/>
          <w:sz w:val="74"/>
          <w:szCs w:val="74"/>
          <w:highlight w:val="none"/>
        </w:rPr>
        <w:t>件</w:t>
      </w:r>
    </w:p>
    <w:p w14:paraId="6D8CC6EA">
      <w:pPr>
        <w:widowControl/>
        <w:jc w:val="left"/>
        <w:rPr>
          <w:rFonts w:hint="eastAsia" w:ascii="黑体" w:hAnsi="黑体" w:eastAsia="黑体" w:cs="黑体"/>
          <w:kern w:val="0"/>
          <w:sz w:val="32"/>
          <w:highlight w:val="none"/>
        </w:rPr>
      </w:pPr>
    </w:p>
    <w:p w14:paraId="4CB7FE9C">
      <w:pPr>
        <w:widowControl/>
        <w:ind w:firstLine="960" w:firstLineChars="300"/>
        <w:jc w:val="left"/>
        <w:rPr>
          <w:rFonts w:hint="eastAsia" w:ascii="黑体" w:hAnsi="黑体" w:eastAsia="黑体" w:cs="黑体"/>
          <w:kern w:val="0"/>
          <w:sz w:val="32"/>
          <w:highlight w:val="none"/>
        </w:rPr>
      </w:pPr>
    </w:p>
    <w:p w14:paraId="49AF8D66">
      <w:pPr>
        <w:widowControl/>
        <w:ind w:firstLine="960" w:firstLineChars="300"/>
        <w:jc w:val="left"/>
        <w:rPr>
          <w:rFonts w:hint="eastAsia" w:ascii="黑体" w:hAnsi="黑体" w:eastAsia="仿宋_GB2312" w:cs="黑体"/>
          <w:kern w:val="0"/>
          <w:sz w:val="32"/>
          <w:highlight w:val="none"/>
        </w:rPr>
      </w:pPr>
      <w:r>
        <w:rPr>
          <w:rFonts w:hint="eastAsia" w:ascii="黑体" w:hAnsi="黑体" w:eastAsia="黑体" w:cs="黑体"/>
          <w:kern w:val="0"/>
          <w:sz w:val="32"/>
          <w:highlight w:val="none"/>
        </w:rPr>
        <w:t>采   购  人</w:t>
      </w:r>
      <w:r>
        <w:rPr>
          <w:rFonts w:hint="eastAsia" w:eastAsia="仿宋_GB2312"/>
          <w:kern w:val="0"/>
          <w:sz w:val="32"/>
          <w:highlight w:val="none"/>
        </w:rPr>
        <w:t>：</w:t>
      </w:r>
      <w:r>
        <w:rPr>
          <w:rFonts w:hint="eastAsia" w:ascii="黑体" w:hAnsi="黑体" w:eastAsia="黑体" w:cs="黑体"/>
          <w:kern w:val="0"/>
          <w:sz w:val="32"/>
          <w:highlight w:val="none"/>
        </w:rPr>
        <w:t>郎溪县人民医院</w:t>
      </w:r>
    </w:p>
    <w:p w14:paraId="6ED05D04">
      <w:pPr>
        <w:widowControl/>
        <w:jc w:val="left"/>
        <w:rPr>
          <w:rFonts w:hint="eastAsia" w:ascii="黑体" w:hAnsi="宋体" w:eastAsia="黑体"/>
          <w:kern w:val="0"/>
          <w:sz w:val="32"/>
          <w:szCs w:val="32"/>
          <w:highlight w:val="none"/>
        </w:rPr>
      </w:pPr>
    </w:p>
    <w:p w14:paraId="4A8D4FEC">
      <w:pPr>
        <w:widowControl/>
        <w:ind w:firstLine="960" w:firstLineChars="300"/>
        <w:jc w:val="left"/>
        <w:rPr>
          <w:rFonts w:hint="eastAsia" w:ascii="宋体" w:hAnsi="宋体" w:eastAsia="仿宋_GB2312"/>
          <w:kern w:val="0"/>
          <w:sz w:val="32"/>
          <w:szCs w:val="32"/>
          <w:highlight w:val="none"/>
        </w:rPr>
      </w:pPr>
      <w:r>
        <w:rPr>
          <w:rFonts w:hint="eastAsia" w:ascii="黑体" w:hAnsi="宋体" w:eastAsia="黑体"/>
          <w:kern w:val="0"/>
          <w:sz w:val="32"/>
          <w:szCs w:val="32"/>
          <w:highlight w:val="none"/>
        </w:rPr>
        <w:t>代 理 机 构：郎溪县公共资源交易有限公司</w:t>
      </w:r>
    </w:p>
    <w:p w14:paraId="2A3FF91C">
      <w:pPr>
        <w:widowControl/>
        <w:jc w:val="center"/>
        <w:rPr>
          <w:rFonts w:hint="eastAsia" w:ascii="黑体" w:hAnsi="黑体" w:eastAsia="黑体" w:cs="黑体"/>
          <w:kern w:val="0"/>
          <w:sz w:val="32"/>
          <w:highlight w:val="none"/>
        </w:rPr>
      </w:pPr>
    </w:p>
    <w:p w14:paraId="734481FB">
      <w:pPr>
        <w:widowControl/>
        <w:jc w:val="center"/>
        <w:rPr>
          <w:rFonts w:hint="eastAsia" w:ascii="黑体" w:hAnsi="黑体" w:eastAsia="黑体" w:cs="黑体"/>
          <w:kern w:val="0"/>
          <w:sz w:val="32"/>
          <w:highlight w:val="none"/>
        </w:rPr>
      </w:pPr>
      <w:r>
        <w:rPr>
          <w:rFonts w:hint="eastAsia" w:ascii="黑体" w:hAnsi="黑体" w:eastAsia="黑体" w:cs="黑体"/>
          <w:kern w:val="0"/>
          <w:sz w:val="32"/>
          <w:highlight w:val="none"/>
        </w:rPr>
        <w:t>2026年6月</w:t>
      </w:r>
    </w:p>
    <w:p w14:paraId="263B8015">
      <w:pPr>
        <w:pStyle w:val="14"/>
        <w:ind w:left="0" w:leftChars="0"/>
        <w:rPr>
          <w:rFonts w:hint="eastAsia" w:ascii="黑体" w:hAnsi="黑体" w:eastAsia="黑体" w:cs="黑体"/>
          <w:kern w:val="0"/>
          <w:sz w:val="32"/>
          <w:highlight w:val="none"/>
        </w:rPr>
      </w:pPr>
    </w:p>
    <w:p w14:paraId="53AD6FE2">
      <w:pPr>
        <w:rPr>
          <w:highlight w:val="none"/>
        </w:rPr>
      </w:pPr>
    </w:p>
    <w:p w14:paraId="3FAA0B2A">
      <w:pPr>
        <w:spacing w:line="440" w:lineRule="exact"/>
        <w:ind w:right="42" w:rightChars="20"/>
        <w:jc w:val="center"/>
        <w:rPr>
          <w:rFonts w:ascii="Arial" w:hAnsi="Arial" w:eastAsia="黑体" w:cs="Arial"/>
          <w:b/>
          <w:sz w:val="36"/>
          <w:highlight w:val="none"/>
        </w:rPr>
      </w:pPr>
      <w:r>
        <w:rPr>
          <w:rFonts w:hint="eastAsia" w:ascii="Arial" w:hAnsi="Arial" w:eastAsia="黑体" w:cs="Arial"/>
          <w:b/>
          <w:sz w:val="40"/>
          <w:szCs w:val="21"/>
          <w:highlight w:val="none"/>
        </w:rPr>
        <w:t>目</w:t>
      </w:r>
      <w:r>
        <w:rPr>
          <w:rFonts w:ascii="Arial" w:hAnsi="Arial" w:eastAsia="黑体" w:cs="Arial"/>
          <w:b/>
          <w:sz w:val="40"/>
          <w:szCs w:val="21"/>
          <w:highlight w:val="none"/>
        </w:rPr>
        <w:t xml:space="preserve">    </w:t>
      </w:r>
      <w:r>
        <w:rPr>
          <w:rFonts w:hint="eastAsia" w:ascii="Arial" w:hAnsi="Arial" w:eastAsia="黑体" w:cs="Arial"/>
          <w:b/>
          <w:sz w:val="40"/>
          <w:szCs w:val="21"/>
          <w:highlight w:val="none"/>
        </w:rPr>
        <w:t>录</w:t>
      </w:r>
    </w:p>
    <w:p w14:paraId="797B30D5">
      <w:pPr>
        <w:pStyle w:val="28"/>
        <w:ind w:left="0" w:leftChars="0"/>
        <w:rPr>
          <w:rFonts w:ascii="Arial" w:hAnsi="Arial" w:eastAsia="黑体"/>
          <w:b w:val="0"/>
          <w:sz w:val="36"/>
          <w:highlight w:val="none"/>
        </w:rPr>
      </w:pPr>
    </w:p>
    <w:p w14:paraId="060D4EC6">
      <w:pPr>
        <w:pStyle w:val="29"/>
        <w:ind w:left="420"/>
        <w:rPr>
          <w:highlight w:val="none"/>
        </w:rPr>
      </w:pPr>
    </w:p>
    <w:p w14:paraId="4793AAEA">
      <w:pPr>
        <w:numPr>
          <w:ilvl w:val="0"/>
          <w:numId w:val="2"/>
        </w:numPr>
        <w:tabs>
          <w:tab w:val="left" w:pos="720"/>
        </w:tabs>
        <w:spacing w:line="560" w:lineRule="exact"/>
        <w:ind w:right="-4" w:rightChars="-2" w:firstLine="840" w:firstLineChars="300"/>
        <w:jc w:val="left"/>
        <w:rPr>
          <w:rFonts w:hint="eastAsia" w:ascii="宋体" w:hAnsi="宋体" w:cs="宋体"/>
          <w:sz w:val="28"/>
          <w:szCs w:val="28"/>
          <w:highlight w:val="none"/>
        </w:rPr>
      </w:pPr>
      <w:r>
        <w:rPr>
          <w:rFonts w:hint="eastAsia" w:ascii="宋体" w:hAnsi="宋体" w:cs="宋体"/>
          <w:sz w:val="28"/>
          <w:szCs w:val="28"/>
          <w:highlight w:val="none"/>
        </w:rPr>
        <w:t>磋商公告</w:t>
      </w:r>
    </w:p>
    <w:p w14:paraId="0710BA90">
      <w:pPr>
        <w:numPr>
          <w:ilvl w:val="0"/>
          <w:numId w:val="2"/>
        </w:numPr>
        <w:tabs>
          <w:tab w:val="left" w:pos="720"/>
        </w:tabs>
        <w:spacing w:line="560" w:lineRule="exact"/>
        <w:ind w:right="-4" w:rightChars="-2" w:firstLine="840" w:firstLineChars="300"/>
        <w:jc w:val="left"/>
        <w:rPr>
          <w:rFonts w:hint="eastAsia" w:ascii="宋体" w:hAnsi="宋体" w:cs="宋体"/>
          <w:sz w:val="28"/>
          <w:szCs w:val="28"/>
          <w:highlight w:val="none"/>
        </w:rPr>
      </w:pPr>
      <w:r>
        <w:rPr>
          <w:rFonts w:hint="eastAsia" w:ascii="宋体" w:hAnsi="宋体" w:cs="宋体"/>
          <w:sz w:val="28"/>
          <w:szCs w:val="28"/>
          <w:highlight w:val="none"/>
        </w:rPr>
        <w:t>供应商须知前附表</w:t>
      </w:r>
    </w:p>
    <w:p w14:paraId="27D1DAD7">
      <w:pPr>
        <w:numPr>
          <w:ilvl w:val="0"/>
          <w:numId w:val="2"/>
        </w:numPr>
        <w:tabs>
          <w:tab w:val="left" w:pos="720"/>
        </w:tabs>
        <w:spacing w:line="560" w:lineRule="exact"/>
        <w:ind w:right="-4" w:rightChars="-2" w:firstLine="840" w:firstLineChars="300"/>
        <w:jc w:val="left"/>
        <w:rPr>
          <w:rFonts w:hint="eastAsia" w:ascii="宋体" w:hAnsi="宋体" w:cs="宋体"/>
          <w:sz w:val="28"/>
          <w:szCs w:val="28"/>
          <w:highlight w:val="none"/>
        </w:rPr>
      </w:pPr>
      <w:r>
        <w:rPr>
          <w:rFonts w:hint="eastAsia" w:ascii="宋体" w:hAnsi="宋体" w:cs="宋体"/>
          <w:sz w:val="28"/>
          <w:szCs w:val="28"/>
          <w:highlight w:val="none"/>
        </w:rPr>
        <w:t>供应商须知</w:t>
      </w:r>
    </w:p>
    <w:p w14:paraId="38C52A3F">
      <w:pPr>
        <w:numPr>
          <w:ilvl w:val="0"/>
          <w:numId w:val="2"/>
        </w:numPr>
        <w:tabs>
          <w:tab w:val="left" w:pos="720"/>
        </w:tabs>
        <w:spacing w:line="600" w:lineRule="exact"/>
        <w:ind w:right="-4" w:rightChars="-2" w:firstLine="840" w:firstLineChars="300"/>
        <w:jc w:val="left"/>
        <w:rPr>
          <w:rFonts w:hint="eastAsia" w:ascii="宋体" w:hAnsi="宋体" w:cs="宋体"/>
          <w:sz w:val="28"/>
          <w:szCs w:val="28"/>
          <w:highlight w:val="none"/>
        </w:rPr>
      </w:pPr>
      <w:r>
        <w:rPr>
          <w:rFonts w:hint="eastAsia" w:ascii="宋体" w:hAnsi="宋体" w:cs="宋体"/>
          <w:sz w:val="28"/>
          <w:szCs w:val="28"/>
          <w:highlight w:val="none"/>
        </w:rPr>
        <w:t>采购需求</w:t>
      </w:r>
    </w:p>
    <w:p w14:paraId="7EF278F1">
      <w:pPr>
        <w:numPr>
          <w:ilvl w:val="0"/>
          <w:numId w:val="2"/>
        </w:numPr>
        <w:tabs>
          <w:tab w:val="left" w:pos="720"/>
        </w:tabs>
        <w:spacing w:line="560" w:lineRule="exact"/>
        <w:ind w:right="-4" w:rightChars="-2" w:firstLine="840" w:firstLineChars="300"/>
        <w:jc w:val="left"/>
        <w:rPr>
          <w:rFonts w:hint="eastAsia" w:ascii="宋体" w:hAnsi="宋体" w:cs="宋体"/>
          <w:sz w:val="28"/>
          <w:szCs w:val="28"/>
          <w:highlight w:val="none"/>
        </w:rPr>
      </w:pPr>
      <w:r>
        <w:rPr>
          <w:rFonts w:hint="eastAsia" w:ascii="宋体" w:hAnsi="宋体" w:cs="宋体"/>
          <w:sz w:val="28"/>
          <w:szCs w:val="28"/>
          <w:highlight w:val="none"/>
        </w:rPr>
        <w:t>磋商与评审</w:t>
      </w:r>
    </w:p>
    <w:p w14:paraId="3716AF63">
      <w:pPr>
        <w:numPr>
          <w:ilvl w:val="0"/>
          <w:numId w:val="2"/>
        </w:numPr>
        <w:tabs>
          <w:tab w:val="left" w:pos="720"/>
        </w:tabs>
        <w:spacing w:line="560" w:lineRule="exact"/>
        <w:ind w:right="-4" w:rightChars="-2" w:firstLine="840" w:firstLineChars="300"/>
        <w:jc w:val="left"/>
        <w:rPr>
          <w:rFonts w:hint="eastAsia" w:ascii="宋体" w:hAnsi="宋体" w:cs="宋体"/>
          <w:sz w:val="28"/>
          <w:szCs w:val="28"/>
          <w:highlight w:val="none"/>
        </w:rPr>
      </w:pPr>
      <w:r>
        <w:rPr>
          <w:rFonts w:hint="eastAsia" w:ascii="宋体" w:hAnsi="宋体" w:cs="宋体"/>
          <w:sz w:val="28"/>
          <w:szCs w:val="28"/>
          <w:highlight w:val="none"/>
        </w:rPr>
        <w:t>采购合同</w:t>
      </w:r>
    </w:p>
    <w:p w14:paraId="7C5329ED">
      <w:pPr>
        <w:numPr>
          <w:ilvl w:val="0"/>
          <w:numId w:val="2"/>
        </w:numPr>
        <w:tabs>
          <w:tab w:val="left" w:pos="720"/>
        </w:tabs>
        <w:spacing w:line="560" w:lineRule="exact"/>
        <w:ind w:right="-4" w:rightChars="-2" w:firstLine="840" w:firstLineChars="300"/>
        <w:jc w:val="left"/>
        <w:rPr>
          <w:rFonts w:hint="eastAsia" w:ascii="宋体" w:hAnsi="宋体" w:cs="宋体"/>
          <w:sz w:val="28"/>
          <w:szCs w:val="28"/>
          <w:highlight w:val="none"/>
        </w:rPr>
      </w:pPr>
      <w:r>
        <w:rPr>
          <w:rFonts w:hint="eastAsia" w:ascii="宋体" w:hAnsi="宋体" w:cs="宋体"/>
          <w:sz w:val="28"/>
          <w:szCs w:val="28"/>
          <w:highlight w:val="none"/>
        </w:rPr>
        <w:t>响应文件格式</w:t>
      </w:r>
    </w:p>
    <w:p w14:paraId="1D7C5572">
      <w:pPr>
        <w:numPr>
          <w:ilvl w:val="0"/>
          <w:numId w:val="2"/>
        </w:numPr>
        <w:tabs>
          <w:tab w:val="left" w:pos="720"/>
        </w:tabs>
        <w:spacing w:line="560" w:lineRule="exact"/>
        <w:ind w:right="-4" w:rightChars="-2" w:firstLine="840" w:firstLineChars="300"/>
        <w:jc w:val="left"/>
        <w:rPr>
          <w:sz w:val="28"/>
          <w:szCs w:val="28"/>
          <w:highlight w:val="none"/>
        </w:rPr>
      </w:pPr>
      <w:r>
        <w:rPr>
          <w:rFonts w:hint="eastAsia" w:ascii="宋体" w:hAnsi="宋体" w:cs="宋体"/>
          <w:sz w:val="28"/>
          <w:szCs w:val="28"/>
          <w:highlight w:val="none"/>
          <w:lang w:val="zh-CN"/>
        </w:rPr>
        <w:t>质疑函范本</w:t>
      </w:r>
    </w:p>
    <w:p w14:paraId="45E6C311">
      <w:pPr>
        <w:tabs>
          <w:tab w:val="left" w:pos="720"/>
        </w:tabs>
        <w:spacing w:line="360" w:lineRule="auto"/>
        <w:ind w:right="-4" w:rightChars="-2"/>
        <w:jc w:val="center"/>
        <w:rPr>
          <w:highlight w:val="none"/>
        </w:rPr>
      </w:pPr>
      <w:r>
        <w:rPr>
          <w:rFonts w:hint="eastAsia"/>
          <w:highlight w:val="none"/>
        </w:rPr>
        <w:br w:type="page"/>
      </w:r>
    </w:p>
    <w:p w14:paraId="40D6360C">
      <w:pPr>
        <w:keepNext w:val="0"/>
        <w:keepLines w:val="0"/>
        <w:pageBreakBefore w:val="0"/>
        <w:tabs>
          <w:tab w:val="left" w:pos="720"/>
        </w:tabs>
        <w:kinsoku/>
        <w:wordWrap/>
        <w:overflowPunct/>
        <w:topLinePunct w:val="0"/>
        <w:autoSpaceDE/>
        <w:autoSpaceDN/>
        <w:bidi w:val="0"/>
        <w:snapToGrid/>
        <w:spacing w:line="420" w:lineRule="exact"/>
        <w:ind w:right="0" w:rightChars="0"/>
        <w:jc w:val="center"/>
        <w:textAlignment w:val="auto"/>
        <w:rPr>
          <w:b/>
          <w:bCs/>
          <w:sz w:val="30"/>
          <w:szCs w:val="30"/>
          <w:highlight w:val="none"/>
        </w:rPr>
      </w:pPr>
      <w:r>
        <w:rPr>
          <w:rFonts w:hint="eastAsia" w:ascii="宋体" w:hAnsi="宋体" w:cs="宋体"/>
          <w:b/>
          <w:bCs/>
          <w:sz w:val="30"/>
          <w:szCs w:val="30"/>
          <w:highlight w:val="none"/>
        </w:rPr>
        <w:t>一、磋商公告</w:t>
      </w:r>
    </w:p>
    <w:p w14:paraId="74E44026">
      <w:pPr>
        <w:keepNext w:val="0"/>
        <w:keepLines w:val="0"/>
        <w:pageBreakBefore w:val="0"/>
        <w:tabs>
          <w:tab w:val="left" w:pos="720"/>
        </w:tabs>
        <w:kinsoku/>
        <w:wordWrap/>
        <w:overflowPunct/>
        <w:topLinePunct w:val="0"/>
        <w:autoSpaceDE/>
        <w:autoSpaceDN/>
        <w:bidi w:val="0"/>
        <w:snapToGrid/>
        <w:spacing w:line="420" w:lineRule="exact"/>
        <w:ind w:right="0" w:rightChars="0"/>
        <w:jc w:val="center"/>
        <w:textAlignment w:val="auto"/>
        <w:rPr>
          <w:rStyle w:val="54"/>
          <w:b/>
          <w:bCs/>
          <w:highlight w:val="none"/>
        </w:rPr>
      </w:pPr>
      <w:r>
        <w:rPr>
          <w:rStyle w:val="54"/>
          <w:rFonts w:hint="eastAsia"/>
          <w:b/>
          <w:bCs/>
          <w:highlight w:val="none"/>
        </w:rPr>
        <w:t>郎溪县人民医院医共体基础设施提升改造项目EPC监理服务采购项目磋商公告</w:t>
      </w:r>
    </w:p>
    <w:p w14:paraId="737DF12E">
      <w:pPr>
        <w:pStyle w:val="32"/>
        <w:keepNext w:val="0"/>
        <w:keepLines w:val="0"/>
        <w:pageBreakBefore w:val="0"/>
        <w:kinsoku/>
        <w:wordWrap/>
        <w:overflowPunct/>
        <w:topLinePunct w:val="0"/>
        <w:autoSpaceDE/>
        <w:autoSpaceDN/>
        <w:bidi w:val="0"/>
        <w:snapToGrid/>
        <w:spacing w:line="420" w:lineRule="exact"/>
        <w:ind w:right="0" w:rightChars="0" w:firstLine="482" w:firstLineChars="200"/>
        <w:textAlignment w:val="auto"/>
        <w:rPr>
          <w:rFonts w:hint="eastAsia"/>
          <w:b/>
          <w:bCs/>
          <w:color w:val="000000"/>
          <w:highlight w:val="none"/>
        </w:rPr>
      </w:pPr>
      <w:bookmarkStart w:id="1" w:name="_Toc272141464"/>
      <w:bookmarkStart w:id="2" w:name="_Toc320969902"/>
      <w:r>
        <w:rPr>
          <w:rFonts w:hint="eastAsia"/>
          <w:b/>
          <w:bCs/>
          <w:color w:val="000000"/>
          <w:highlight w:val="none"/>
        </w:rPr>
        <w:t>一、项目基本情况</w:t>
      </w:r>
    </w:p>
    <w:p w14:paraId="419A69D2">
      <w:pPr>
        <w:pStyle w:val="32"/>
        <w:keepNext w:val="0"/>
        <w:keepLines w:val="0"/>
        <w:pageBreakBefore w:val="0"/>
        <w:kinsoku/>
        <w:wordWrap/>
        <w:overflowPunct/>
        <w:topLinePunct w:val="0"/>
        <w:autoSpaceDE/>
        <w:autoSpaceDN/>
        <w:bidi w:val="0"/>
        <w:snapToGrid/>
        <w:spacing w:line="420" w:lineRule="exact"/>
        <w:ind w:right="0" w:rightChars="0" w:firstLine="480" w:firstLineChars="200"/>
        <w:textAlignment w:val="auto"/>
        <w:rPr>
          <w:rFonts w:hint="eastAsia"/>
          <w:highlight w:val="none"/>
        </w:rPr>
      </w:pPr>
      <w:r>
        <w:rPr>
          <w:rFonts w:hint="eastAsia"/>
          <w:highlight w:val="none"/>
        </w:rPr>
        <w:t xml:space="preserve">1.项目编号：LY-ZCB-2026016   </w:t>
      </w:r>
    </w:p>
    <w:p w14:paraId="5BDA7DB8">
      <w:pPr>
        <w:pStyle w:val="32"/>
        <w:keepNext w:val="0"/>
        <w:keepLines w:val="0"/>
        <w:pageBreakBefore w:val="0"/>
        <w:kinsoku/>
        <w:wordWrap/>
        <w:overflowPunct/>
        <w:topLinePunct w:val="0"/>
        <w:autoSpaceDE/>
        <w:autoSpaceDN/>
        <w:bidi w:val="0"/>
        <w:snapToGrid/>
        <w:spacing w:line="420" w:lineRule="exact"/>
        <w:ind w:right="0" w:rightChars="0" w:firstLine="480" w:firstLineChars="200"/>
        <w:textAlignment w:val="auto"/>
        <w:rPr>
          <w:rFonts w:hint="eastAsia"/>
          <w:bCs/>
          <w:highlight w:val="none"/>
        </w:rPr>
      </w:pPr>
      <w:r>
        <w:rPr>
          <w:rFonts w:hint="eastAsia"/>
          <w:highlight w:val="none"/>
        </w:rPr>
        <w:t>2.项目名称：</w:t>
      </w:r>
      <w:r>
        <w:rPr>
          <w:rFonts w:hint="eastAsia"/>
          <w:bCs/>
          <w:highlight w:val="none"/>
        </w:rPr>
        <w:t>郎溪县人民医院医共体基础设施提升改造项目EPC监理服务采购项目</w:t>
      </w:r>
    </w:p>
    <w:p w14:paraId="6815F347">
      <w:pPr>
        <w:pStyle w:val="32"/>
        <w:keepNext w:val="0"/>
        <w:keepLines w:val="0"/>
        <w:pageBreakBefore w:val="0"/>
        <w:kinsoku/>
        <w:wordWrap/>
        <w:overflowPunct/>
        <w:topLinePunct w:val="0"/>
        <w:autoSpaceDE/>
        <w:autoSpaceDN/>
        <w:bidi w:val="0"/>
        <w:snapToGrid/>
        <w:spacing w:line="420" w:lineRule="exact"/>
        <w:ind w:right="0" w:rightChars="0" w:firstLine="480" w:firstLineChars="200"/>
        <w:textAlignment w:val="auto"/>
        <w:rPr>
          <w:rFonts w:hint="eastAsia"/>
          <w:highlight w:val="none"/>
        </w:rPr>
      </w:pPr>
      <w:r>
        <w:rPr>
          <w:rFonts w:hint="eastAsia"/>
          <w:highlight w:val="none"/>
        </w:rPr>
        <w:t>3.采购方式：磋商</w:t>
      </w:r>
    </w:p>
    <w:p w14:paraId="2D22D92A">
      <w:pPr>
        <w:pStyle w:val="32"/>
        <w:keepNext w:val="0"/>
        <w:keepLines w:val="0"/>
        <w:pageBreakBefore w:val="0"/>
        <w:kinsoku/>
        <w:wordWrap/>
        <w:overflowPunct/>
        <w:topLinePunct w:val="0"/>
        <w:autoSpaceDE/>
        <w:autoSpaceDN/>
        <w:bidi w:val="0"/>
        <w:snapToGrid/>
        <w:spacing w:line="420" w:lineRule="exact"/>
        <w:ind w:right="0" w:rightChars="0" w:firstLine="480" w:firstLineChars="200"/>
        <w:jc w:val="both"/>
        <w:textAlignment w:val="auto"/>
        <w:rPr>
          <w:rFonts w:hint="eastAsia"/>
          <w:highlight w:val="none"/>
        </w:rPr>
      </w:pPr>
      <w:r>
        <w:rPr>
          <w:rFonts w:hint="eastAsia"/>
          <w:highlight w:val="none"/>
        </w:rPr>
        <w:t>4.项目预算：</w:t>
      </w:r>
      <w:r>
        <w:rPr>
          <w:rFonts w:hint="eastAsia"/>
          <w:bCs/>
          <w:highlight w:val="none"/>
        </w:rPr>
        <w:t>费率为1.1%（响应人响应报价费率精确到小数点后两位，即为*.**%，中标价约4130万元）</w:t>
      </w:r>
    </w:p>
    <w:p w14:paraId="2CF1E917">
      <w:pPr>
        <w:pStyle w:val="32"/>
        <w:keepNext w:val="0"/>
        <w:keepLines w:val="0"/>
        <w:pageBreakBefore w:val="0"/>
        <w:kinsoku/>
        <w:wordWrap/>
        <w:overflowPunct/>
        <w:topLinePunct w:val="0"/>
        <w:autoSpaceDE/>
        <w:autoSpaceDN/>
        <w:bidi w:val="0"/>
        <w:snapToGrid/>
        <w:spacing w:line="420" w:lineRule="exact"/>
        <w:ind w:right="0" w:rightChars="0" w:firstLine="480" w:firstLineChars="200"/>
        <w:jc w:val="both"/>
        <w:textAlignment w:val="auto"/>
        <w:rPr>
          <w:rFonts w:hint="eastAsia"/>
          <w:highlight w:val="none"/>
        </w:rPr>
      </w:pPr>
      <w:r>
        <w:rPr>
          <w:rFonts w:hint="eastAsia"/>
          <w:highlight w:val="none"/>
        </w:rPr>
        <w:t>5.采购需求：</w:t>
      </w:r>
      <w:r>
        <w:rPr>
          <w:highlight w:val="none"/>
        </w:rPr>
        <w:t>本项目建设内容主要包括郎溪县人民医院改造工程、医共体单位新建及改造提升工程（主要包括建平镇卫生院、南丰分院、新发镇卫生院、飞鲤镇卫生院、梅渚镇卫生院以及郎溪县医共体精神病治疗中心（凌笪卫生院分院）），改造总建筑面积约为23891平方米，新建总建筑面积7220平方米</w:t>
      </w:r>
      <w:r>
        <w:rPr>
          <w:rFonts w:hint="eastAsia"/>
          <w:highlight w:val="none"/>
        </w:rPr>
        <w:t>，具体内容以招标人实际要求为准。主要内容包含工程施工阶段的编制项目监理规划和监理实施细则，质量控制，进度控制，投资控制，履行安全生产监理法定职责，合同管理，信息管理，协调工程建设相关方关系；竣工验收阶段的工程验收策划，组织单位工程预验收，提出质量评估意见，参与专项、验收，参与技术验收，参与单位工程验收，参与试生产，竣工资料收集与整理，具体详见采购需求。</w:t>
      </w:r>
    </w:p>
    <w:p w14:paraId="5787E01C">
      <w:pPr>
        <w:pStyle w:val="32"/>
        <w:keepNext w:val="0"/>
        <w:keepLines w:val="0"/>
        <w:pageBreakBefore w:val="0"/>
        <w:kinsoku/>
        <w:wordWrap/>
        <w:overflowPunct/>
        <w:topLinePunct w:val="0"/>
        <w:autoSpaceDE/>
        <w:autoSpaceDN/>
        <w:bidi w:val="0"/>
        <w:snapToGrid/>
        <w:spacing w:line="420" w:lineRule="exact"/>
        <w:ind w:right="0" w:rightChars="0" w:firstLine="480" w:firstLineChars="200"/>
        <w:jc w:val="both"/>
        <w:textAlignment w:val="auto"/>
        <w:rPr>
          <w:rFonts w:hint="eastAsia"/>
          <w:bCs/>
          <w:highlight w:val="none"/>
        </w:rPr>
      </w:pPr>
      <w:r>
        <w:rPr>
          <w:rFonts w:hint="eastAsia"/>
          <w:highlight w:val="none"/>
        </w:rPr>
        <w:t>6.服务期限：工程施工前期工作开始至项目缺陷责任期结束止全过程项目监理服务。</w:t>
      </w:r>
    </w:p>
    <w:p w14:paraId="12AD7A53">
      <w:pPr>
        <w:pStyle w:val="32"/>
        <w:keepNext w:val="0"/>
        <w:keepLines w:val="0"/>
        <w:pageBreakBefore w:val="0"/>
        <w:kinsoku/>
        <w:wordWrap/>
        <w:overflowPunct/>
        <w:topLinePunct w:val="0"/>
        <w:autoSpaceDE/>
        <w:autoSpaceDN/>
        <w:bidi w:val="0"/>
        <w:snapToGrid/>
        <w:spacing w:line="420" w:lineRule="exact"/>
        <w:ind w:right="0" w:rightChars="0" w:firstLine="480" w:firstLineChars="200"/>
        <w:textAlignment w:val="auto"/>
        <w:rPr>
          <w:rFonts w:hint="eastAsia"/>
          <w:b/>
          <w:highlight w:val="none"/>
        </w:rPr>
      </w:pPr>
      <w:r>
        <w:rPr>
          <w:rFonts w:hint="eastAsia"/>
          <w:bCs/>
          <w:highlight w:val="none"/>
        </w:rPr>
        <w:t>7.本项目不接受联合体响应。</w:t>
      </w:r>
    </w:p>
    <w:p w14:paraId="243A8810">
      <w:pPr>
        <w:pStyle w:val="32"/>
        <w:keepNext w:val="0"/>
        <w:keepLines w:val="0"/>
        <w:pageBreakBefore w:val="0"/>
        <w:kinsoku/>
        <w:wordWrap/>
        <w:overflowPunct/>
        <w:topLinePunct w:val="0"/>
        <w:autoSpaceDE/>
        <w:autoSpaceDN/>
        <w:bidi w:val="0"/>
        <w:snapToGrid/>
        <w:spacing w:line="420" w:lineRule="exact"/>
        <w:ind w:right="0" w:rightChars="0" w:firstLine="482" w:firstLineChars="200"/>
        <w:jc w:val="both"/>
        <w:textAlignment w:val="auto"/>
        <w:rPr>
          <w:rFonts w:hint="eastAsia"/>
          <w:b/>
          <w:bCs/>
          <w:highlight w:val="none"/>
        </w:rPr>
      </w:pPr>
      <w:r>
        <w:rPr>
          <w:rFonts w:hint="eastAsia"/>
          <w:b/>
          <w:bCs/>
          <w:highlight w:val="none"/>
        </w:rPr>
        <w:t>二、响应供应商资格要求</w:t>
      </w:r>
    </w:p>
    <w:p w14:paraId="74829358">
      <w:pPr>
        <w:pStyle w:val="32"/>
        <w:keepNext w:val="0"/>
        <w:keepLines w:val="0"/>
        <w:pageBreakBefore w:val="0"/>
        <w:kinsoku/>
        <w:wordWrap/>
        <w:overflowPunct/>
        <w:topLinePunct w:val="0"/>
        <w:autoSpaceDE/>
        <w:autoSpaceDN/>
        <w:bidi w:val="0"/>
        <w:snapToGrid/>
        <w:spacing w:line="420" w:lineRule="exact"/>
        <w:ind w:right="0" w:rightChars="0" w:firstLine="480" w:firstLineChars="200"/>
        <w:jc w:val="both"/>
        <w:textAlignment w:val="auto"/>
        <w:rPr>
          <w:rFonts w:hint="eastAsia"/>
          <w:highlight w:val="none"/>
        </w:rPr>
      </w:pPr>
      <w:r>
        <w:rPr>
          <w:rFonts w:hint="eastAsia"/>
          <w:highlight w:val="none"/>
        </w:rPr>
        <w:t>1.供应商须具有合法有效的营业执照；</w:t>
      </w:r>
    </w:p>
    <w:p w14:paraId="505B8663">
      <w:pPr>
        <w:pStyle w:val="32"/>
        <w:keepNext w:val="0"/>
        <w:keepLines w:val="0"/>
        <w:pageBreakBefore w:val="0"/>
        <w:kinsoku/>
        <w:wordWrap/>
        <w:overflowPunct/>
        <w:topLinePunct w:val="0"/>
        <w:autoSpaceDE/>
        <w:autoSpaceDN/>
        <w:bidi w:val="0"/>
        <w:adjustRightInd w:val="0"/>
        <w:snapToGrid/>
        <w:spacing w:line="420" w:lineRule="exact"/>
        <w:ind w:right="0" w:rightChars="0" w:firstLine="480" w:firstLineChars="200"/>
        <w:textAlignment w:val="auto"/>
        <w:rPr>
          <w:rFonts w:hint="eastAsia"/>
          <w:highlight w:val="none"/>
        </w:rPr>
      </w:pPr>
      <w:r>
        <w:rPr>
          <w:rFonts w:hint="eastAsia"/>
          <w:highlight w:val="none"/>
        </w:rPr>
        <w:t>2.</w:t>
      </w:r>
      <w:r>
        <w:rPr>
          <w:highlight w:val="none"/>
        </w:rPr>
        <w:t>具有工程监理房屋建筑工程专业乙级及以上资质或工程监理综合资质</w:t>
      </w:r>
      <w:r>
        <w:rPr>
          <w:rFonts w:hint="eastAsia"/>
          <w:highlight w:val="none"/>
        </w:rPr>
        <w:t>；</w:t>
      </w:r>
    </w:p>
    <w:p w14:paraId="623F61B3">
      <w:pPr>
        <w:pStyle w:val="32"/>
        <w:keepNext w:val="0"/>
        <w:keepLines w:val="0"/>
        <w:pageBreakBefore w:val="0"/>
        <w:kinsoku/>
        <w:wordWrap/>
        <w:overflowPunct/>
        <w:topLinePunct w:val="0"/>
        <w:autoSpaceDE/>
        <w:autoSpaceDN/>
        <w:bidi w:val="0"/>
        <w:snapToGrid/>
        <w:spacing w:line="420" w:lineRule="exact"/>
        <w:ind w:right="0" w:rightChars="0" w:firstLine="480" w:firstLineChars="200"/>
        <w:jc w:val="both"/>
        <w:textAlignment w:val="auto"/>
        <w:rPr>
          <w:rFonts w:hint="eastAsia"/>
          <w:highlight w:val="none"/>
        </w:rPr>
      </w:pPr>
      <w:r>
        <w:rPr>
          <w:rFonts w:hint="eastAsia"/>
          <w:highlight w:val="none"/>
        </w:rPr>
        <w:t>3.</w:t>
      </w:r>
      <w:r>
        <w:rPr>
          <w:highlight w:val="none"/>
        </w:rPr>
        <w:t>总监理工程师资格要求：</w:t>
      </w:r>
      <w:bookmarkStart w:id="3" w:name="EBd16314790978418db38973701b06c742"/>
      <w:r>
        <w:rPr>
          <w:highlight w:val="none"/>
        </w:rPr>
        <w:t>拟任本项目总监应具有</w:t>
      </w:r>
      <w:bookmarkEnd w:id="3"/>
      <w:r>
        <w:rPr>
          <w:highlight w:val="none"/>
        </w:rPr>
        <w:t>房屋建筑工程</w:t>
      </w:r>
      <w:r>
        <w:rPr>
          <w:rFonts w:hint="eastAsia"/>
          <w:highlight w:val="none"/>
        </w:rPr>
        <w:t>专业</w:t>
      </w:r>
      <w:r>
        <w:rPr>
          <w:highlight w:val="none"/>
        </w:rPr>
        <w:t>国家注册监理工程师资格</w:t>
      </w:r>
      <w:r>
        <w:rPr>
          <w:rFonts w:hint="eastAsia"/>
          <w:highlight w:val="none"/>
        </w:rPr>
        <w:t>。</w:t>
      </w:r>
    </w:p>
    <w:p w14:paraId="3493F2C9">
      <w:pPr>
        <w:pStyle w:val="32"/>
        <w:keepNext w:val="0"/>
        <w:keepLines w:val="0"/>
        <w:pageBreakBefore w:val="0"/>
        <w:kinsoku/>
        <w:wordWrap/>
        <w:overflowPunct/>
        <w:topLinePunct w:val="0"/>
        <w:autoSpaceDE/>
        <w:autoSpaceDN/>
        <w:bidi w:val="0"/>
        <w:snapToGrid/>
        <w:spacing w:line="420" w:lineRule="exact"/>
        <w:ind w:right="0" w:rightChars="0" w:firstLine="480" w:firstLineChars="200"/>
        <w:jc w:val="both"/>
        <w:textAlignment w:val="auto"/>
        <w:rPr>
          <w:rFonts w:hint="eastAsia"/>
          <w:color w:val="000000"/>
          <w:highlight w:val="none"/>
        </w:rPr>
      </w:pPr>
      <w:r>
        <w:rPr>
          <w:rFonts w:hint="eastAsia"/>
          <w:highlight w:val="none"/>
        </w:rPr>
        <w:t>4.供应商存在以下不良信用记录情形之一的，不得推荐为成交候选供应商，不</w:t>
      </w:r>
      <w:r>
        <w:rPr>
          <w:rFonts w:hint="eastAsia"/>
          <w:color w:val="000000"/>
          <w:highlight w:val="none"/>
        </w:rPr>
        <w:t>得确定为成交供应商：</w:t>
      </w:r>
    </w:p>
    <w:p w14:paraId="2AD5CBEF">
      <w:pPr>
        <w:pStyle w:val="32"/>
        <w:keepNext w:val="0"/>
        <w:keepLines w:val="0"/>
        <w:pageBreakBefore w:val="0"/>
        <w:numPr>
          <w:ilvl w:val="0"/>
          <w:numId w:val="3"/>
        </w:numPr>
        <w:kinsoku/>
        <w:wordWrap/>
        <w:overflowPunct/>
        <w:topLinePunct w:val="0"/>
        <w:autoSpaceDE/>
        <w:autoSpaceDN/>
        <w:bidi w:val="0"/>
        <w:snapToGrid/>
        <w:spacing w:line="420" w:lineRule="exact"/>
        <w:ind w:right="0" w:rightChars="0" w:firstLine="480" w:firstLineChars="200"/>
        <w:jc w:val="both"/>
        <w:textAlignment w:val="auto"/>
        <w:rPr>
          <w:rFonts w:hint="eastAsia"/>
          <w:color w:val="000000"/>
          <w:highlight w:val="none"/>
        </w:rPr>
      </w:pPr>
      <w:r>
        <w:rPr>
          <w:rFonts w:hint="eastAsia"/>
          <w:color w:val="000000"/>
          <w:highlight w:val="none"/>
        </w:rPr>
        <w:t>供应商被人民法院列入失信被执行人的；</w:t>
      </w:r>
    </w:p>
    <w:p w14:paraId="66FD4B2A">
      <w:pPr>
        <w:pStyle w:val="32"/>
        <w:keepNext w:val="0"/>
        <w:keepLines w:val="0"/>
        <w:pageBreakBefore w:val="0"/>
        <w:numPr>
          <w:ilvl w:val="0"/>
          <w:numId w:val="3"/>
        </w:numPr>
        <w:kinsoku/>
        <w:wordWrap/>
        <w:overflowPunct/>
        <w:topLinePunct w:val="0"/>
        <w:autoSpaceDE/>
        <w:autoSpaceDN/>
        <w:bidi w:val="0"/>
        <w:snapToGrid/>
        <w:spacing w:line="420" w:lineRule="exact"/>
        <w:ind w:right="0" w:rightChars="0" w:firstLine="480" w:firstLineChars="200"/>
        <w:jc w:val="both"/>
        <w:textAlignment w:val="auto"/>
        <w:rPr>
          <w:rFonts w:hint="eastAsia"/>
          <w:color w:val="000000"/>
          <w:highlight w:val="none"/>
        </w:rPr>
      </w:pPr>
      <w:r>
        <w:rPr>
          <w:rFonts w:hint="eastAsia"/>
          <w:color w:val="000000"/>
          <w:highlight w:val="none"/>
        </w:rPr>
        <w:t>供应商被税务部门列入重大税收违法案件当事人名单的；</w:t>
      </w:r>
    </w:p>
    <w:p w14:paraId="1E398511">
      <w:pPr>
        <w:pStyle w:val="32"/>
        <w:keepNext w:val="0"/>
        <w:keepLines w:val="0"/>
        <w:pageBreakBefore w:val="0"/>
        <w:kinsoku/>
        <w:wordWrap/>
        <w:overflowPunct/>
        <w:topLinePunct w:val="0"/>
        <w:autoSpaceDE/>
        <w:autoSpaceDN/>
        <w:bidi w:val="0"/>
        <w:snapToGrid/>
        <w:spacing w:line="420" w:lineRule="exact"/>
        <w:ind w:right="0" w:rightChars="0" w:firstLine="482" w:firstLineChars="200"/>
        <w:jc w:val="both"/>
        <w:textAlignment w:val="auto"/>
        <w:rPr>
          <w:rFonts w:hint="eastAsia"/>
          <w:b/>
          <w:bCs/>
          <w:color w:val="000000"/>
          <w:highlight w:val="none"/>
        </w:rPr>
      </w:pPr>
      <w:bookmarkStart w:id="4" w:name="_Toc35393793"/>
      <w:bookmarkStart w:id="5" w:name="_Toc35393624"/>
      <w:bookmarkStart w:id="6" w:name="_Toc28359008"/>
      <w:bookmarkStart w:id="7" w:name="_Toc35393627"/>
      <w:bookmarkStart w:id="8" w:name="_Toc28359085"/>
      <w:bookmarkStart w:id="9" w:name="_Toc35393796"/>
      <w:r>
        <w:rPr>
          <w:rFonts w:hint="eastAsia"/>
          <w:b/>
          <w:bCs/>
          <w:color w:val="000000"/>
          <w:highlight w:val="none"/>
        </w:rPr>
        <w:t>三、获取采购文件</w:t>
      </w:r>
    </w:p>
    <w:p w14:paraId="1FB2ABDA">
      <w:pPr>
        <w:pStyle w:val="99"/>
        <w:keepNext w:val="0"/>
        <w:keepLines w:val="0"/>
        <w:pageBreakBefore w:val="0"/>
        <w:kinsoku/>
        <w:wordWrap/>
        <w:overflowPunct/>
        <w:topLinePunct w:val="0"/>
        <w:autoSpaceDE/>
        <w:autoSpaceDN/>
        <w:bidi w:val="0"/>
        <w:snapToGrid/>
        <w:spacing w:before="0" w:beforeAutospacing="0" w:after="0" w:afterAutospacing="0" w:line="420" w:lineRule="exact"/>
        <w:ind w:right="0" w:rightChars="0" w:firstLine="480" w:firstLineChars="200"/>
        <w:jc w:val="both"/>
        <w:textAlignment w:val="auto"/>
        <w:rPr>
          <w:rFonts w:hint="eastAsia"/>
          <w:highlight w:val="none"/>
        </w:rPr>
      </w:pPr>
      <w:r>
        <w:rPr>
          <w:rFonts w:hint="eastAsia"/>
          <w:highlight w:val="none"/>
        </w:rPr>
        <w:t>1.时间：2026年</w:t>
      </w:r>
      <w:r>
        <w:rPr>
          <w:rFonts w:hint="eastAsia"/>
          <w:highlight w:val="none"/>
          <w:lang w:val="en-US" w:eastAsia="zh-CN"/>
        </w:rPr>
        <w:t>6</w:t>
      </w:r>
      <w:r>
        <w:rPr>
          <w:rFonts w:hint="eastAsia"/>
          <w:highlight w:val="none"/>
        </w:rPr>
        <w:t>月</w:t>
      </w:r>
      <w:r>
        <w:rPr>
          <w:rFonts w:hint="eastAsia"/>
          <w:highlight w:val="none"/>
          <w:lang w:val="en-US" w:eastAsia="zh-CN"/>
        </w:rPr>
        <w:t>26</w:t>
      </w:r>
      <w:r>
        <w:rPr>
          <w:rFonts w:hint="eastAsia"/>
          <w:highlight w:val="none"/>
        </w:rPr>
        <w:t>日至2026年</w:t>
      </w:r>
      <w:r>
        <w:rPr>
          <w:rFonts w:hint="eastAsia"/>
          <w:highlight w:val="none"/>
          <w:lang w:val="en-US" w:eastAsia="zh-CN"/>
        </w:rPr>
        <w:t>7</w:t>
      </w:r>
      <w:r>
        <w:rPr>
          <w:rFonts w:hint="eastAsia"/>
          <w:highlight w:val="none"/>
        </w:rPr>
        <w:t>月</w:t>
      </w:r>
      <w:r>
        <w:rPr>
          <w:rFonts w:hint="eastAsia"/>
          <w:highlight w:val="none"/>
          <w:lang w:val="en-US" w:eastAsia="zh-CN"/>
        </w:rPr>
        <w:t>8</w:t>
      </w:r>
      <w:r>
        <w:rPr>
          <w:rFonts w:hint="eastAsia"/>
          <w:highlight w:val="none"/>
        </w:rPr>
        <w:t xml:space="preserve">日 </w:t>
      </w:r>
    </w:p>
    <w:p w14:paraId="24779966">
      <w:pPr>
        <w:pStyle w:val="99"/>
        <w:keepNext w:val="0"/>
        <w:keepLines w:val="0"/>
        <w:pageBreakBefore w:val="0"/>
        <w:kinsoku/>
        <w:wordWrap/>
        <w:overflowPunct/>
        <w:topLinePunct w:val="0"/>
        <w:autoSpaceDE/>
        <w:autoSpaceDN/>
        <w:bidi w:val="0"/>
        <w:snapToGrid/>
        <w:spacing w:before="0" w:beforeAutospacing="0" w:after="0" w:afterAutospacing="0" w:line="420" w:lineRule="exact"/>
        <w:ind w:right="0" w:rightChars="0" w:firstLine="480" w:firstLineChars="200"/>
        <w:jc w:val="both"/>
        <w:textAlignment w:val="auto"/>
        <w:rPr>
          <w:rFonts w:hint="eastAsia"/>
          <w:highlight w:val="none"/>
        </w:rPr>
      </w:pPr>
      <w:r>
        <w:rPr>
          <w:rFonts w:hint="eastAsia"/>
          <w:highlight w:val="none"/>
        </w:rPr>
        <w:t>2.地点：郎溪县人民医院</w:t>
      </w:r>
    </w:p>
    <w:p w14:paraId="1B44914F">
      <w:pPr>
        <w:pStyle w:val="99"/>
        <w:keepNext w:val="0"/>
        <w:keepLines w:val="0"/>
        <w:pageBreakBefore w:val="0"/>
        <w:kinsoku/>
        <w:wordWrap/>
        <w:overflowPunct/>
        <w:topLinePunct w:val="0"/>
        <w:autoSpaceDE/>
        <w:autoSpaceDN/>
        <w:bidi w:val="0"/>
        <w:snapToGrid/>
        <w:spacing w:before="0" w:beforeAutospacing="0" w:after="0" w:afterAutospacing="0" w:line="420" w:lineRule="exact"/>
        <w:ind w:right="0" w:rightChars="0" w:firstLine="480" w:firstLineChars="200"/>
        <w:jc w:val="both"/>
        <w:textAlignment w:val="auto"/>
        <w:rPr>
          <w:rFonts w:hint="eastAsia"/>
          <w:highlight w:val="none"/>
        </w:rPr>
      </w:pPr>
      <w:r>
        <w:rPr>
          <w:rFonts w:hint="eastAsia"/>
          <w:highlight w:val="none"/>
        </w:rPr>
        <w:t>3.方式：网上直接下载</w:t>
      </w:r>
    </w:p>
    <w:p w14:paraId="30874078">
      <w:pPr>
        <w:pStyle w:val="99"/>
        <w:keepNext w:val="0"/>
        <w:keepLines w:val="0"/>
        <w:pageBreakBefore w:val="0"/>
        <w:kinsoku/>
        <w:wordWrap/>
        <w:overflowPunct/>
        <w:topLinePunct w:val="0"/>
        <w:autoSpaceDE/>
        <w:autoSpaceDN/>
        <w:bidi w:val="0"/>
        <w:snapToGrid/>
        <w:spacing w:before="0" w:beforeAutospacing="0" w:after="0" w:afterAutospacing="0" w:line="420" w:lineRule="exact"/>
        <w:ind w:right="0" w:rightChars="0" w:firstLine="480" w:firstLineChars="200"/>
        <w:jc w:val="both"/>
        <w:textAlignment w:val="auto"/>
        <w:rPr>
          <w:rFonts w:hint="eastAsia"/>
          <w:highlight w:val="none"/>
        </w:rPr>
      </w:pPr>
      <w:r>
        <w:rPr>
          <w:rFonts w:hint="eastAsia"/>
          <w:highlight w:val="none"/>
        </w:rPr>
        <w:t>4.售价：免费获取</w:t>
      </w:r>
    </w:p>
    <w:p w14:paraId="4FC0FAFC">
      <w:pPr>
        <w:pStyle w:val="32"/>
        <w:keepNext w:val="0"/>
        <w:keepLines w:val="0"/>
        <w:pageBreakBefore w:val="0"/>
        <w:kinsoku/>
        <w:wordWrap/>
        <w:overflowPunct/>
        <w:topLinePunct w:val="0"/>
        <w:autoSpaceDE/>
        <w:autoSpaceDN/>
        <w:bidi w:val="0"/>
        <w:snapToGrid/>
        <w:spacing w:line="420" w:lineRule="exact"/>
        <w:ind w:right="0" w:rightChars="0" w:firstLine="480" w:firstLineChars="200"/>
        <w:jc w:val="both"/>
        <w:textAlignment w:val="auto"/>
        <w:rPr>
          <w:rFonts w:hint="eastAsia"/>
          <w:highlight w:val="none"/>
        </w:rPr>
      </w:pPr>
      <w:r>
        <w:rPr>
          <w:rFonts w:hint="eastAsia"/>
          <w:highlight w:val="none"/>
        </w:rPr>
        <w:t xml:space="preserve">5.文件咨询时间：工作日上午8:00-12:00,下午:14:30-17:30 </w:t>
      </w:r>
    </w:p>
    <w:bookmarkEnd w:id="4"/>
    <w:bookmarkEnd w:id="5"/>
    <w:p w14:paraId="396962A6">
      <w:pPr>
        <w:pStyle w:val="99"/>
        <w:keepNext w:val="0"/>
        <w:keepLines w:val="0"/>
        <w:pageBreakBefore w:val="0"/>
        <w:kinsoku/>
        <w:wordWrap/>
        <w:overflowPunct/>
        <w:topLinePunct w:val="0"/>
        <w:autoSpaceDE/>
        <w:autoSpaceDN/>
        <w:bidi w:val="0"/>
        <w:snapToGrid/>
        <w:spacing w:before="0" w:beforeAutospacing="0" w:after="0" w:afterAutospacing="0" w:line="420" w:lineRule="exact"/>
        <w:ind w:right="0" w:rightChars="0" w:firstLine="482" w:firstLineChars="200"/>
        <w:jc w:val="both"/>
        <w:textAlignment w:val="auto"/>
        <w:rPr>
          <w:rFonts w:hint="eastAsia"/>
          <w:b/>
          <w:bCs/>
          <w:highlight w:val="none"/>
        </w:rPr>
      </w:pPr>
      <w:r>
        <w:rPr>
          <w:rFonts w:hint="eastAsia"/>
          <w:b/>
          <w:bCs/>
          <w:highlight w:val="none"/>
        </w:rPr>
        <w:t>四、响应文件</w:t>
      </w:r>
      <w:bookmarkStart w:id="10" w:name="_Toc28359005"/>
      <w:bookmarkStart w:id="11" w:name="_Toc28359082"/>
      <w:r>
        <w:rPr>
          <w:rFonts w:hint="eastAsia"/>
          <w:b/>
          <w:bCs/>
          <w:highlight w:val="none"/>
        </w:rPr>
        <w:t>提交</w:t>
      </w:r>
      <w:bookmarkEnd w:id="10"/>
      <w:bookmarkEnd w:id="11"/>
    </w:p>
    <w:p w14:paraId="1AFA50A0">
      <w:pPr>
        <w:pStyle w:val="99"/>
        <w:keepNext w:val="0"/>
        <w:keepLines w:val="0"/>
        <w:pageBreakBefore w:val="0"/>
        <w:kinsoku/>
        <w:wordWrap/>
        <w:overflowPunct/>
        <w:topLinePunct w:val="0"/>
        <w:autoSpaceDE/>
        <w:autoSpaceDN/>
        <w:bidi w:val="0"/>
        <w:snapToGrid/>
        <w:spacing w:before="0" w:beforeAutospacing="0" w:after="0" w:afterAutospacing="0" w:line="420" w:lineRule="exact"/>
        <w:ind w:right="0" w:rightChars="0" w:firstLine="480" w:firstLineChars="200"/>
        <w:jc w:val="both"/>
        <w:textAlignment w:val="auto"/>
        <w:rPr>
          <w:rFonts w:hint="eastAsia"/>
          <w:highlight w:val="none"/>
        </w:rPr>
      </w:pPr>
      <w:r>
        <w:rPr>
          <w:rFonts w:hint="eastAsia"/>
          <w:highlight w:val="none"/>
        </w:rPr>
        <w:t>1.截止时间：2026年</w:t>
      </w:r>
      <w:r>
        <w:rPr>
          <w:rFonts w:hint="eastAsia"/>
          <w:highlight w:val="none"/>
          <w:lang w:val="en-US" w:eastAsia="zh-CN"/>
        </w:rPr>
        <w:t>7</w:t>
      </w:r>
      <w:r>
        <w:rPr>
          <w:rFonts w:hint="eastAsia"/>
          <w:highlight w:val="none"/>
        </w:rPr>
        <w:t>月</w:t>
      </w:r>
      <w:r>
        <w:rPr>
          <w:rFonts w:hint="eastAsia"/>
          <w:highlight w:val="none"/>
          <w:lang w:val="en-US" w:eastAsia="zh-CN"/>
        </w:rPr>
        <w:t>8</w:t>
      </w:r>
      <w:r>
        <w:rPr>
          <w:rFonts w:hint="eastAsia"/>
          <w:highlight w:val="none"/>
        </w:rPr>
        <w:t>日9点00分（北京时间）</w:t>
      </w:r>
    </w:p>
    <w:p w14:paraId="0FF3C732">
      <w:pPr>
        <w:pStyle w:val="99"/>
        <w:keepNext w:val="0"/>
        <w:keepLines w:val="0"/>
        <w:pageBreakBefore w:val="0"/>
        <w:kinsoku/>
        <w:wordWrap/>
        <w:overflowPunct/>
        <w:topLinePunct w:val="0"/>
        <w:autoSpaceDE/>
        <w:autoSpaceDN/>
        <w:bidi w:val="0"/>
        <w:snapToGrid/>
        <w:spacing w:before="0" w:beforeAutospacing="0" w:after="0" w:afterAutospacing="0" w:line="420" w:lineRule="exact"/>
        <w:ind w:right="0" w:rightChars="0" w:firstLine="480" w:firstLineChars="200"/>
        <w:jc w:val="both"/>
        <w:textAlignment w:val="auto"/>
        <w:rPr>
          <w:rFonts w:hint="eastAsia"/>
          <w:highlight w:val="none"/>
        </w:rPr>
      </w:pPr>
      <w:r>
        <w:rPr>
          <w:rFonts w:hint="eastAsia"/>
          <w:highlight w:val="none"/>
        </w:rPr>
        <w:t>2.地点：郎溪县人民医院</w:t>
      </w:r>
      <w:r>
        <w:rPr>
          <w:rFonts w:hint="eastAsia"/>
          <w:highlight w:val="none"/>
          <w:lang w:val="en-US" w:eastAsia="zh-CN"/>
        </w:rPr>
        <w:t>五楼</w:t>
      </w:r>
      <w:r>
        <w:rPr>
          <w:rFonts w:hint="eastAsia"/>
          <w:highlight w:val="none"/>
        </w:rPr>
        <w:t>会议室</w:t>
      </w:r>
    </w:p>
    <w:p w14:paraId="162D7E11">
      <w:pPr>
        <w:pStyle w:val="99"/>
        <w:keepNext w:val="0"/>
        <w:keepLines w:val="0"/>
        <w:pageBreakBefore w:val="0"/>
        <w:kinsoku/>
        <w:wordWrap/>
        <w:overflowPunct/>
        <w:topLinePunct w:val="0"/>
        <w:autoSpaceDE/>
        <w:autoSpaceDN/>
        <w:bidi w:val="0"/>
        <w:snapToGrid/>
        <w:spacing w:before="0" w:beforeAutospacing="0" w:after="0" w:afterAutospacing="0" w:line="420" w:lineRule="exact"/>
        <w:ind w:right="0" w:rightChars="0" w:firstLine="482" w:firstLineChars="200"/>
        <w:jc w:val="both"/>
        <w:textAlignment w:val="auto"/>
        <w:rPr>
          <w:rFonts w:hint="eastAsia"/>
          <w:b/>
          <w:bCs/>
          <w:highlight w:val="none"/>
        </w:rPr>
      </w:pPr>
      <w:r>
        <w:rPr>
          <w:rFonts w:hint="eastAsia"/>
          <w:b/>
          <w:bCs/>
          <w:highlight w:val="none"/>
        </w:rPr>
        <w:t>五、开启</w:t>
      </w:r>
    </w:p>
    <w:p w14:paraId="6A4A0ECA">
      <w:pPr>
        <w:pStyle w:val="99"/>
        <w:keepNext w:val="0"/>
        <w:keepLines w:val="0"/>
        <w:pageBreakBefore w:val="0"/>
        <w:kinsoku/>
        <w:wordWrap/>
        <w:overflowPunct/>
        <w:topLinePunct w:val="0"/>
        <w:autoSpaceDE/>
        <w:autoSpaceDN/>
        <w:bidi w:val="0"/>
        <w:snapToGrid/>
        <w:spacing w:before="0" w:beforeAutospacing="0" w:after="0" w:afterAutospacing="0" w:line="420" w:lineRule="exact"/>
        <w:ind w:right="0" w:rightChars="0" w:firstLine="480" w:firstLineChars="200"/>
        <w:jc w:val="both"/>
        <w:textAlignment w:val="auto"/>
        <w:rPr>
          <w:rFonts w:hint="eastAsia"/>
          <w:highlight w:val="none"/>
        </w:rPr>
      </w:pPr>
      <w:r>
        <w:rPr>
          <w:rFonts w:hint="eastAsia"/>
          <w:highlight w:val="none"/>
        </w:rPr>
        <w:t>1.时间：2026年</w:t>
      </w:r>
      <w:r>
        <w:rPr>
          <w:rFonts w:hint="eastAsia"/>
          <w:highlight w:val="none"/>
          <w:lang w:val="en-US" w:eastAsia="zh-CN"/>
        </w:rPr>
        <w:t>7</w:t>
      </w:r>
      <w:r>
        <w:rPr>
          <w:rFonts w:hint="eastAsia"/>
          <w:highlight w:val="none"/>
        </w:rPr>
        <w:t>月</w:t>
      </w:r>
      <w:r>
        <w:rPr>
          <w:rFonts w:hint="eastAsia"/>
          <w:highlight w:val="none"/>
          <w:lang w:val="en-US" w:eastAsia="zh-CN"/>
        </w:rPr>
        <w:t>8</w:t>
      </w:r>
      <w:r>
        <w:rPr>
          <w:rFonts w:hint="eastAsia"/>
          <w:highlight w:val="none"/>
        </w:rPr>
        <w:t>日9点00分（北京时间）</w:t>
      </w:r>
    </w:p>
    <w:p w14:paraId="36265990">
      <w:pPr>
        <w:pStyle w:val="99"/>
        <w:keepNext w:val="0"/>
        <w:keepLines w:val="0"/>
        <w:pageBreakBefore w:val="0"/>
        <w:kinsoku/>
        <w:wordWrap/>
        <w:overflowPunct/>
        <w:topLinePunct w:val="0"/>
        <w:autoSpaceDE/>
        <w:autoSpaceDN/>
        <w:bidi w:val="0"/>
        <w:snapToGrid/>
        <w:spacing w:before="0" w:beforeAutospacing="0" w:after="0" w:afterAutospacing="0" w:line="420" w:lineRule="exact"/>
        <w:ind w:right="0" w:rightChars="0" w:firstLine="480" w:firstLineChars="200"/>
        <w:jc w:val="both"/>
        <w:textAlignment w:val="auto"/>
        <w:rPr>
          <w:rFonts w:hint="eastAsia"/>
          <w:highlight w:val="none"/>
        </w:rPr>
      </w:pPr>
      <w:r>
        <w:rPr>
          <w:rFonts w:hint="eastAsia"/>
          <w:highlight w:val="none"/>
        </w:rPr>
        <w:t>2.地点：郎溪县人民医院</w:t>
      </w:r>
      <w:r>
        <w:rPr>
          <w:rFonts w:hint="eastAsia"/>
          <w:highlight w:val="none"/>
          <w:lang w:val="en-US" w:eastAsia="zh-CN"/>
        </w:rPr>
        <w:t>五楼</w:t>
      </w:r>
      <w:r>
        <w:rPr>
          <w:rFonts w:hint="eastAsia"/>
          <w:highlight w:val="none"/>
        </w:rPr>
        <w:t>会议室</w:t>
      </w:r>
    </w:p>
    <w:p w14:paraId="7846BEA7">
      <w:pPr>
        <w:pStyle w:val="99"/>
        <w:keepNext w:val="0"/>
        <w:keepLines w:val="0"/>
        <w:pageBreakBefore w:val="0"/>
        <w:kinsoku/>
        <w:wordWrap/>
        <w:overflowPunct/>
        <w:topLinePunct w:val="0"/>
        <w:autoSpaceDE/>
        <w:autoSpaceDN/>
        <w:bidi w:val="0"/>
        <w:snapToGrid/>
        <w:spacing w:before="0" w:beforeAutospacing="0" w:after="0" w:afterAutospacing="0" w:line="420" w:lineRule="exact"/>
        <w:ind w:right="0" w:rightChars="0" w:firstLine="482" w:firstLineChars="200"/>
        <w:jc w:val="both"/>
        <w:textAlignment w:val="auto"/>
        <w:rPr>
          <w:rFonts w:hint="eastAsia"/>
          <w:b/>
          <w:bCs/>
          <w:highlight w:val="none"/>
        </w:rPr>
      </w:pPr>
      <w:r>
        <w:rPr>
          <w:rFonts w:hint="eastAsia"/>
          <w:b/>
          <w:bCs/>
          <w:highlight w:val="none"/>
        </w:rPr>
        <w:t>六、公告期限</w:t>
      </w:r>
    </w:p>
    <w:p w14:paraId="4D0D0899">
      <w:pPr>
        <w:pStyle w:val="99"/>
        <w:keepNext w:val="0"/>
        <w:keepLines w:val="0"/>
        <w:pageBreakBefore w:val="0"/>
        <w:kinsoku/>
        <w:wordWrap/>
        <w:overflowPunct/>
        <w:topLinePunct w:val="0"/>
        <w:autoSpaceDE/>
        <w:autoSpaceDN/>
        <w:bidi w:val="0"/>
        <w:snapToGrid/>
        <w:spacing w:before="0" w:beforeAutospacing="0" w:after="0" w:afterAutospacing="0" w:line="420" w:lineRule="exact"/>
        <w:ind w:right="0" w:rightChars="0" w:firstLine="480" w:firstLineChars="200"/>
        <w:jc w:val="both"/>
        <w:textAlignment w:val="auto"/>
        <w:rPr>
          <w:rFonts w:hint="eastAsia"/>
          <w:highlight w:val="none"/>
        </w:rPr>
      </w:pPr>
      <w:r>
        <w:rPr>
          <w:rFonts w:hint="eastAsia"/>
          <w:highlight w:val="none"/>
        </w:rPr>
        <w:t>自本项目公告发布之日起3个工作日。</w:t>
      </w:r>
    </w:p>
    <w:p w14:paraId="080FC035">
      <w:pPr>
        <w:pStyle w:val="99"/>
        <w:keepNext w:val="0"/>
        <w:keepLines w:val="0"/>
        <w:pageBreakBefore w:val="0"/>
        <w:kinsoku/>
        <w:wordWrap/>
        <w:overflowPunct/>
        <w:topLinePunct w:val="0"/>
        <w:autoSpaceDE/>
        <w:autoSpaceDN/>
        <w:bidi w:val="0"/>
        <w:snapToGrid/>
        <w:spacing w:before="0" w:beforeAutospacing="0" w:after="0" w:afterAutospacing="0" w:line="420" w:lineRule="exact"/>
        <w:ind w:right="0" w:rightChars="0" w:firstLine="482" w:firstLineChars="200"/>
        <w:jc w:val="both"/>
        <w:textAlignment w:val="auto"/>
        <w:rPr>
          <w:rFonts w:hint="eastAsia"/>
          <w:b/>
          <w:bCs/>
          <w:highlight w:val="none"/>
        </w:rPr>
      </w:pPr>
      <w:r>
        <w:rPr>
          <w:rFonts w:hint="eastAsia"/>
          <w:b/>
          <w:bCs/>
          <w:highlight w:val="none"/>
        </w:rPr>
        <w:t>七、其它补充事宜</w:t>
      </w:r>
    </w:p>
    <w:p w14:paraId="5F4D76F0">
      <w:pPr>
        <w:pStyle w:val="99"/>
        <w:keepNext w:val="0"/>
        <w:keepLines w:val="0"/>
        <w:pageBreakBefore w:val="0"/>
        <w:kinsoku/>
        <w:wordWrap/>
        <w:overflowPunct/>
        <w:topLinePunct w:val="0"/>
        <w:autoSpaceDE/>
        <w:autoSpaceDN/>
        <w:bidi w:val="0"/>
        <w:snapToGrid/>
        <w:spacing w:before="0" w:beforeAutospacing="0" w:after="0" w:afterAutospacing="0" w:line="420" w:lineRule="exact"/>
        <w:ind w:right="0" w:rightChars="0" w:firstLine="480" w:firstLineChars="200"/>
        <w:jc w:val="both"/>
        <w:textAlignment w:val="auto"/>
        <w:rPr>
          <w:rFonts w:hint="eastAsia"/>
          <w:highlight w:val="none"/>
        </w:rPr>
      </w:pPr>
      <w:r>
        <w:rPr>
          <w:rFonts w:hint="eastAsia"/>
          <w:highlight w:val="none"/>
        </w:rPr>
        <w:t>1.响应保证金：无。</w:t>
      </w:r>
    </w:p>
    <w:p w14:paraId="39D8AC2E">
      <w:pPr>
        <w:pStyle w:val="99"/>
        <w:keepNext w:val="0"/>
        <w:keepLines w:val="0"/>
        <w:pageBreakBefore w:val="0"/>
        <w:kinsoku/>
        <w:wordWrap/>
        <w:overflowPunct/>
        <w:topLinePunct w:val="0"/>
        <w:autoSpaceDE/>
        <w:autoSpaceDN/>
        <w:bidi w:val="0"/>
        <w:snapToGrid/>
        <w:spacing w:before="0" w:beforeAutospacing="0" w:after="0" w:afterAutospacing="0" w:line="420" w:lineRule="exact"/>
        <w:ind w:right="0" w:rightChars="0" w:firstLine="480" w:firstLineChars="200"/>
        <w:jc w:val="both"/>
        <w:textAlignment w:val="auto"/>
        <w:rPr>
          <w:rFonts w:hint="eastAsia"/>
          <w:highlight w:val="none"/>
        </w:rPr>
      </w:pPr>
      <w:r>
        <w:rPr>
          <w:rFonts w:hint="eastAsia"/>
          <w:highlight w:val="none"/>
        </w:rPr>
        <w:t>2.采购项目的项目介绍、数量、规格描述或服务要求等详见采购需求。</w:t>
      </w:r>
    </w:p>
    <w:p w14:paraId="48523621">
      <w:pPr>
        <w:pStyle w:val="32"/>
        <w:keepNext w:val="0"/>
        <w:keepLines w:val="0"/>
        <w:pageBreakBefore w:val="0"/>
        <w:kinsoku/>
        <w:wordWrap/>
        <w:overflowPunct/>
        <w:topLinePunct w:val="0"/>
        <w:autoSpaceDE/>
        <w:autoSpaceDN/>
        <w:bidi w:val="0"/>
        <w:snapToGrid/>
        <w:spacing w:line="420" w:lineRule="exact"/>
        <w:ind w:right="0" w:rightChars="0" w:firstLine="482" w:firstLineChars="200"/>
        <w:jc w:val="both"/>
        <w:textAlignment w:val="auto"/>
        <w:rPr>
          <w:rFonts w:hint="eastAsia"/>
          <w:b/>
          <w:bCs/>
          <w:color w:val="000000"/>
          <w:highlight w:val="none"/>
        </w:rPr>
      </w:pPr>
      <w:r>
        <w:rPr>
          <w:rFonts w:hint="eastAsia"/>
          <w:b/>
          <w:bCs/>
          <w:color w:val="000000"/>
          <w:highlight w:val="none"/>
        </w:rPr>
        <w:t>八、对本次采购提出询问，请按以下方式联系</w:t>
      </w:r>
      <w:bookmarkEnd w:id="6"/>
      <w:bookmarkEnd w:id="7"/>
      <w:bookmarkEnd w:id="8"/>
      <w:bookmarkEnd w:id="9"/>
    </w:p>
    <w:p w14:paraId="14F36C87">
      <w:pPr>
        <w:pStyle w:val="32"/>
        <w:keepNext w:val="0"/>
        <w:keepLines w:val="0"/>
        <w:pageBreakBefore w:val="0"/>
        <w:kinsoku/>
        <w:wordWrap/>
        <w:overflowPunct/>
        <w:topLinePunct w:val="0"/>
        <w:autoSpaceDE/>
        <w:autoSpaceDN/>
        <w:bidi w:val="0"/>
        <w:snapToGrid/>
        <w:spacing w:line="420" w:lineRule="exact"/>
        <w:ind w:right="0" w:rightChars="0" w:firstLine="480" w:firstLineChars="200"/>
        <w:jc w:val="both"/>
        <w:textAlignment w:val="auto"/>
        <w:rPr>
          <w:rFonts w:hint="eastAsia"/>
          <w:highlight w:val="none"/>
        </w:rPr>
      </w:pPr>
      <w:bookmarkStart w:id="12" w:name="_Toc28359087"/>
      <w:bookmarkStart w:id="13" w:name="_Toc28359010"/>
      <w:r>
        <w:rPr>
          <w:rFonts w:hint="eastAsia"/>
          <w:highlight w:val="none"/>
        </w:rPr>
        <w:t>1.采购人信息</w:t>
      </w:r>
    </w:p>
    <w:p w14:paraId="59973708">
      <w:pPr>
        <w:pStyle w:val="32"/>
        <w:keepNext w:val="0"/>
        <w:keepLines w:val="0"/>
        <w:pageBreakBefore w:val="0"/>
        <w:kinsoku/>
        <w:wordWrap/>
        <w:overflowPunct/>
        <w:topLinePunct w:val="0"/>
        <w:autoSpaceDE/>
        <w:autoSpaceDN/>
        <w:bidi w:val="0"/>
        <w:snapToGrid/>
        <w:spacing w:line="420" w:lineRule="exact"/>
        <w:ind w:right="0" w:rightChars="0" w:firstLine="480" w:firstLineChars="200"/>
        <w:textAlignment w:val="auto"/>
        <w:rPr>
          <w:rFonts w:hint="eastAsia"/>
          <w:highlight w:val="none"/>
        </w:rPr>
      </w:pPr>
      <w:bookmarkStart w:id="14" w:name="_Toc28359086"/>
      <w:bookmarkStart w:id="15" w:name="_Toc28359009"/>
      <w:r>
        <w:rPr>
          <w:rFonts w:hint="eastAsia"/>
          <w:highlight w:val="none"/>
        </w:rPr>
        <w:t>名  称：郎溪县人民医院</w:t>
      </w:r>
    </w:p>
    <w:p w14:paraId="19270C65">
      <w:pPr>
        <w:pStyle w:val="32"/>
        <w:keepNext w:val="0"/>
        <w:keepLines w:val="0"/>
        <w:pageBreakBefore w:val="0"/>
        <w:kinsoku/>
        <w:wordWrap/>
        <w:overflowPunct/>
        <w:topLinePunct w:val="0"/>
        <w:autoSpaceDE/>
        <w:autoSpaceDN/>
        <w:bidi w:val="0"/>
        <w:snapToGrid/>
        <w:spacing w:line="420" w:lineRule="exact"/>
        <w:ind w:right="0" w:rightChars="0" w:firstLine="480" w:firstLineChars="200"/>
        <w:textAlignment w:val="auto"/>
        <w:rPr>
          <w:rFonts w:hint="eastAsia"/>
          <w:highlight w:val="none"/>
        </w:rPr>
      </w:pPr>
      <w:r>
        <w:rPr>
          <w:rFonts w:hint="eastAsia"/>
          <w:highlight w:val="none"/>
        </w:rPr>
        <w:t>地  址：宣城市郎溪县建平镇北大街65号</w:t>
      </w:r>
    </w:p>
    <w:p w14:paraId="0A13340B">
      <w:pPr>
        <w:pStyle w:val="32"/>
        <w:keepNext w:val="0"/>
        <w:keepLines w:val="0"/>
        <w:pageBreakBefore w:val="0"/>
        <w:kinsoku/>
        <w:wordWrap/>
        <w:overflowPunct/>
        <w:topLinePunct w:val="0"/>
        <w:autoSpaceDE/>
        <w:autoSpaceDN/>
        <w:bidi w:val="0"/>
        <w:snapToGrid/>
        <w:spacing w:line="420" w:lineRule="exact"/>
        <w:ind w:right="0" w:rightChars="0" w:firstLine="480" w:firstLineChars="200"/>
        <w:textAlignment w:val="auto"/>
        <w:rPr>
          <w:rFonts w:hint="eastAsia"/>
          <w:highlight w:val="none"/>
        </w:rPr>
      </w:pPr>
      <w:r>
        <w:rPr>
          <w:rFonts w:hint="eastAsia"/>
          <w:highlight w:val="none"/>
        </w:rPr>
        <w:t>联系人：赵先生</w:t>
      </w:r>
    </w:p>
    <w:p w14:paraId="1DC04A10">
      <w:pPr>
        <w:pStyle w:val="32"/>
        <w:keepNext w:val="0"/>
        <w:keepLines w:val="0"/>
        <w:pageBreakBefore w:val="0"/>
        <w:kinsoku/>
        <w:wordWrap/>
        <w:overflowPunct/>
        <w:topLinePunct w:val="0"/>
        <w:autoSpaceDE/>
        <w:autoSpaceDN/>
        <w:bidi w:val="0"/>
        <w:snapToGrid/>
        <w:spacing w:line="420" w:lineRule="exact"/>
        <w:ind w:right="0" w:rightChars="0" w:firstLine="480" w:firstLineChars="200"/>
        <w:jc w:val="both"/>
        <w:textAlignment w:val="auto"/>
        <w:rPr>
          <w:rFonts w:hint="eastAsia"/>
          <w:highlight w:val="none"/>
        </w:rPr>
      </w:pPr>
      <w:r>
        <w:rPr>
          <w:rFonts w:hint="eastAsia"/>
          <w:highlight w:val="none"/>
        </w:rPr>
        <w:t>联系方式：0563-7012560</w:t>
      </w:r>
    </w:p>
    <w:p w14:paraId="74E606E6">
      <w:pPr>
        <w:pStyle w:val="32"/>
        <w:keepNext w:val="0"/>
        <w:keepLines w:val="0"/>
        <w:pageBreakBefore w:val="0"/>
        <w:kinsoku/>
        <w:wordWrap/>
        <w:overflowPunct/>
        <w:topLinePunct w:val="0"/>
        <w:autoSpaceDE/>
        <w:autoSpaceDN/>
        <w:bidi w:val="0"/>
        <w:snapToGrid/>
        <w:spacing w:line="420" w:lineRule="exact"/>
        <w:ind w:right="0" w:rightChars="0" w:firstLine="480" w:firstLineChars="200"/>
        <w:jc w:val="both"/>
        <w:textAlignment w:val="auto"/>
        <w:rPr>
          <w:rFonts w:hint="eastAsia"/>
          <w:highlight w:val="none"/>
        </w:rPr>
      </w:pPr>
      <w:r>
        <w:rPr>
          <w:rFonts w:hint="eastAsia"/>
          <w:highlight w:val="none"/>
        </w:rPr>
        <w:t>2.代理机构信息</w:t>
      </w:r>
      <w:bookmarkEnd w:id="14"/>
      <w:bookmarkEnd w:id="15"/>
    </w:p>
    <w:p w14:paraId="37A3A383">
      <w:pPr>
        <w:pStyle w:val="32"/>
        <w:keepNext w:val="0"/>
        <w:keepLines w:val="0"/>
        <w:pageBreakBefore w:val="0"/>
        <w:kinsoku/>
        <w:wordWrap/>
        <w:overflowPunct/>
        <w:topLinePunct w:val="0"/>
        <w:autoSpaceDE/>
        <w:autoSpaceDN/>
        <w:bidi w:val="0"/>
        <w:snapToGrid/>
        <w:spacing w:line="420" w:lineRule="exact"/>
        <w:ind w:right="0" w:rightChars="0" w:firstLine="425"/>
        <w:jc w:val="both"/>
        <w:textAlignment w:val="auto"/>
        <w:rPr>
          <w:rFonts w:hint="eastAsia"/>
          <w:highlight w:val="none"/>
        </w:rPr>
      </w:pPr>
      <w:r>
        <w:rPr>
          <w:rFonts w:hint="eastAsia"/>
          <w:highlight w:val="none"/>
        </w:rPr>
        <w:t>名称：郎溪县公共资源交易有限公司</w:t>
      </w:r>
    </w:p>
    <w:p w14:paraId="1BC4991B">
      <w:pPr>
        <w:pStyle w:val="32"/>
        <w:keepNext w:val="0"/>
        <w:keepLines w:val="0"/>
        <w:pageBreakBefore w:val="0"/>
        <w:kinsoku/>
        <w:wordWrap/>
        <w:overflowPunct/>
        <w:topLinePunct w:val="0"/>
        <w:autoSpaceDE/>
        <w:autoSpaceDN/>
        <w:bidi w:val="0"/>
        <w:snapToGrid/>
        <w:spacing w:line="420" w:lineRule="exact"/>
        <w:ind w:right="0" w:rightChars="0" w:firstLine="425"/>
        <w:jc w:val="both"/>
        <w:textAlignment w:val="auto"/>
        <w:rPr>
          <w:rFonts w:hint="eastAsia"/>
          <w:highlight w:val="none"/>
        </w:rPr>
      </w:pPr>
      <w:r>
        <w:rPr>
          <w:rFonts w:hint="eastAsia"/>
          <w:highlight w:val="none"/>
        </w:rPr>
        <w:t>地址：郎溪县建平镇郎步街道新建街39号（原百货大楼第三层）</w:t>
      </w:r>
    </w:p>
    <w:p w14:paraId="60326358">
      <w:pPr>
        <w:pStyle w:val="32"/>
        <w:keepNext w:val="0"/>
        <w:keepLines w:val="0"/>
        <w:pageBreakBefore w:val="0"/>
        <w:kinsoku/>
        <w:wordWrap/>
        <w:overflowPunct/>
        <w:topLinePunct w:val="0"/>
        <w:autoSpaceDE/>
        <w:autoSpaceDN/>
        <w:bidi w:val="0"/>
        <w:snapToGrid/>
        <w:spacing w:line="420" w:lineRule="exact"/>
        <w:ind w:right="0" w:rightChars="0" w:firstLine="425"/>
        <w:jc w:val="both"/>
        <w:textAlignment w:val="auto"/>
        <w:rPr>
          <w:rFonts w:hint="eastAsia"/>
          <w:highlight w:val="none"/>
        </w:rPr>
      </w:pPr>
      <w:r>
        <w:rPr>
          <w:rFonts w:hint="eastAsia"/>
          <w:highlight w:val="none"/>
        </w:rPr>
        <w:t>联系人：胡工</w:t>
      </w:r>
    </w:p>
    <w:p w14:paraId="6A52C336">
      <w:pPr>
        <w:pStyle w:val="32"/>
        <w:keepNext w:val="0"/>
        <w:keepLines w:val="0"/>
        <w:pageBreakBefore w:val="0"/>
        <w:kinsoku/>
        <w:wordWrap/>
        <w:overflowPunct/>
        <w:topLinePunct w:val="0"/>
        <w:autoSpaceDE/>
        <w:autoSpaceDN/>
        <w:bidi w:val="0"/>
        <w:snapToGrid/>
        <w:spacing w:line="420" w:lineRule="exact"/>
        <w:ind w:right="0" w:rightChars="0" w:firstLine="425"/>
        <w:jc w:val="both"/>
        <w:textAlignment w:val="auto"/>
        <w:rPr>
          <w:rFonts w:hint="eastAsia"/>
          <w:highlight w:val="none"/>
        </w:rPr>
      </w:pPr>
      <w:r>
        <w:rPr>
          <w:rFonts w:hint="eastAsia"/>
          <w:highlight w:val="none"/>
        </w:rPr>
        <w:t>联系方式：</w:t>
      </w:r>
      <w:bookmarkEnd w:id="12"/>
      <w:bookmarkEnd w:id="13"/>
      <w:r>
        <w:rPr>
          <w:rFonts w:hint="eastAsia"/>
          <w:highlight w:val="none"/>
        </w:rPr>
        <w:t>19156392572</w:t>
      </w:r>
    </w:p>
    <w:p w14:paraId="0417E1C9">
      <w:pPr>
        <w:pStyle w:val="32"/>
        <w:keepNext w:val="0"/>
        <w:keepLines w:val="0"/>
        <w:pageBreakBefore w:val="0"/>
        <w:kinsoku/>
        <w:wordWrap/>
        <w:overflowPunct/>
        <w:topLinePunct w:val="0"/>
        <w:autoSpaceDE/>
        <w:autoSpaceDN/>
        <w:bidi w:val="0"/>
        <w:snapToGrid/>
        <w:spacing w:line="420" w:lineRule="exact"/>
        <w:ind w:right="0" w:rightChars="0"/>
        <w:jc w:val="right"/>
        <w:textAlignment w:val="auto"/>
        <w:rPr>
          <w:rFonts w:hint="eastAsia"/>
          <w:color w:val="000000"/>
          <w:highlight w:val="none"/>
        </w:rPr>
      </w:pPr>
      <w:r>
        <w:rPr>
          <w:rFonts w:hint="eastAsia"/>
          <w:highlight w:val="none"/>
        </w:rPr>
        <w:t xml:space="preserve"> 2026年</w:t>
      </w:r>
      <w:r>
        <w:rPr>
          <w:rFonts w:hint="eastAsia"/>
          <w:highlight w:val="none"/>
          <w:lang w:val="en-US" w:eastAsia="zh-CN"/>
        </w:rPr>
        <w:t>6</w:t>
      </w:r>
      <w:r>
        <w:rPr>
          <w:rFonts w:hint="eastAsia"/>
          <w:highlight w:val="none"/>
        </w:rPr>
        <w:t>月</w:t>
      </w:r>
      <w:r>
        <w:rPr>
          <w:rFonts w:hint="eastAsia"/>
          <w:highlight w:val="none"/>
          <w:lang w:val="en-US" w:eastAsia="zh-CN"/>
        </w:rPr>
        <w:t>26</w:t>
      </w:r>
      <w:r>
        <w:rPr>
          <w:rFonts w:hint="eastAsia"/>
          <w:highlight w:val="none"/>
        </w:rPr>
        <w:t>日</w:t>
      </w:r>
    </w:p>
    <w:bookmarkEnd w:id="1"/>
    <w:bookmarkEnd w:id="2"/>
    <w:p w14:paraId="233D9677">
      <w:pPr>
        <w:tabs>
          <w:tab w:val="left" w:pos="720"/>
        </w:tabs>
        <w:spacing w:line="360" w:lineRule="auto"/>
        <w:ind w:right="-4" w:rightChars="-2"/>
        <w:jc w:val="center"/>
        <w:rPr>
          <w:rFonts w:hint="eastAsia" w:ascii="宋体" w:hAnsi="宋体" w:cs="宋体"/>
          <w:b/>
          <w:bCs/>
          <w:sz w:val="28"/>
          <w:szCs w:val="28"/>
          <w:highlight w:val="none"/>
        </w:rPr>
      </w:pPr>
      <w:bookmarkStart w:id="16" w:name="_Hlk450145192"/>
      <w:bookmarkEnd w:id="16"/>
      <w:bookmarkStart w:id="17" w:name="_Toc303782971"/>
      <w:bookmarkStart w:id="18" w:name="_Toc272141465"/>
      <w:bookmarkStart w:id="19" w:name="_Toc320969903"/>
      <w:r>
        <w:rPr>
          <w:rFonts w:hint="eastAsia" w:ascii="宋体" w:hAnsi="宋体" w:cs="宋体"/>
          <w:sz w:val="28"/>
          <w:szCs w:val="28"/>
          <w:highlight w:val="none"/>
        </w:rPr>
        <w:br w:type="page"/>
      </w:r>
      <w:r>
        <w:rPr>
          <w:rStyle w:val="54"/>
          <w:rFonts w:hint="eastAsia"/>
          <w:b/>
          <w:bCs/>
          <w:highlight w:val="none"/>
        </w:rPr>
        <w:t>二、供应商须知前附表</w:t>
      </w:r>
    </w:p>
    <w:tbl>
      <w:tblPr>
        <w:tblStyle w:val="37"/>
        <w:tblW w:w="8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265"/>
        <w:gridCol w:w="5307"/>
      </w:tblGrid>
      <w:tr w14:paraId="2A20CB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0" w:type="dxa"/>
            <w:vAlign w:val="center"/>
          </w:tcPr>
          <w:p w14:paraId="0CC220C9">
            <w:pPr>
              <w:spacing w:line="400" w:lineRule="exact"/>
              <w:jc w:val="center"/>
              <w:rPr>
                <w:rFonts w:hint="eastAsia" w:ascii="宋体" w:hAnsi="宋体" w:cs="Arial"/>
                <w:bCs/>
                <w:sz w:val="24"/>
                <w:szCs w:val="24"/>
                <w:highlight w:val="none"/>
              </w:rPr>
            </w:pPr>
            <w:r>
              <w:rPr>
                <w:rFonts w:ascii="宋体" w:hAnsi="宋体" w:cs="Arial"/>
                <w:bCs/>
                <w:sz w:val="24"/>
                <w:szCs w:val="24"/>
                <w:highlight w:val="none"/>
              </w:rPr>
              <w:t>序号</w:t>
            </w:r>
          </w:p>
        </w:tc>
        <w:tc>
          <w:tcPr>
            <w:tcW w:w="2265" w:type="dxa"/>
            <w:vAlign w:val="center"/>
          </w:tcPr>
          <w:p w14:paraId="0E70726C">
            <w:pPr>
              <w:spacing w:line="400" w:lineRule="exact"/>
              <w:jc w:val="center"/>
              <w:rPr>
                <w:rFonts w:hint="eastAsia" w:ascii="宋体" w:hAnsi="宋体" w:cs="Arial"/>
                <w:bCs/>
                <w:sz w:val="24"/>
                <w:szCs w:val="24"/>
                <w:highlight w:val="none"/>
              </w:rPr>
            </w:pPr>
            <w:r>
              <w:rPr>
                <w:rFonts w:ascii="宋体" w:hAnsi="宋体" w:cs="Arial"/>
                <w:bCs/>
                <w:sz w:val="24"/>
                <w:szCs w:val="24"/>
                <w:highlight w:val="none"/>
              </w:rPr>
              <w:t>内容</w:t>
            </w:r>
          </w:p>
        </w:tc>
        <w:tc>
          <w:tcPr>
            <w:tcW w:w="5307" w:type="dxa"/>
            <w:vAlign w:val="center"/>
          </w:tcPr>
          <w:p w14:paraId="0AE263F1">
            <w:pPr>
              <w:spacing w:line="400" w:lineRule="exact"/>
              <w:jc w:val="center"/>
              <w:rPr>
                <w:rFonts w:hint="eastAsia" w:ascii="宋体" w:hAnsi="宋体" w:cs="Arial"/>
                <w:b/>
                <w:sz w:val="24"/>
                <w:szCs w:val="24"/>
                <w:highlight w:val="none"/>
              </w:rPr>
            </w:pPr>
            <w:r>
              <w:rPr>
                <w:rFonts w:hint="eastAsia" w:ascii="宋体" w:hAnsi="宋体" w:cs="Arial"/>
                <w:b/>
                <w:sz w:val="24"/>
                <w:szCs w:val="24"/>
                <w:highlight w:val="none"/>
              </w:rPr>
              <w:t>说明</w:t>
            </w:r>
          </w:p>
        </w:tc>
      </w:tr>
      <w:tr w14:paraId="07EF15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0" w:type="dxa"/>
            <w:vAlign w:val="center"/>
          </w:tcPr>
          <w:p w14:paraId="47335FE1">
            <w:pPr>
              <w:spacing w:line="400" w:lineRule="exact"/>
              <w:jc w:val="center"/>
              <w:rPr>
                <w:bCs/>
                <w:highlight w:val="none"/>
              </w:rPr>
            </w:pPr>
            <w:r>
              <w:rPr>
                <w:rFonts w:hint="eastAsia"/>
                <w:bCs/>
                <w:highlight w:val="none"/>
              </w:rPr>
              <w:t>1</w:t>
            </w:r>
          </w:p>
        </w:tc>
        <w:tc>
          <w:tcPr>
            <w:tcW w:w="2265" w:type="dxa"/>
            <w:vAlign w:val="center"/>
          </w:tcPr>
          <w:p w14:paraId="18F20A04">
            <w:pPr>
              <w:spacing w:line="400" w:lineRule="exact"/>
              <w:jc w:val="left"/>
              <w:rPr>
                <w:rFonts w:hint="eastAsia" w:ascii="宋体" w:hAnsi="宋体" w:cs="Arial"/>
                <w:bCs/>
                <w:sz w:val="24"/>
                <w:szCs w:val="24"/>
                <w:highlight w:val="none"/>
              </w:rPr>
            </w:pPr>
            <w:r>
              <w:rPr>
                <w:rFonts w:ascii="宋体" w:hAnsi="宋体" w:cs="Arial"/>
                <w:bCs/>
                <w:sz w:val="24"/>
                <w:szCs w:val="24"/>
                <w:highlight w:val="none"/>
              </w:rPr>
              <w:t>项目名称：</w:t>
            </w:r>
          </w:p>
          <w:p w14:paraId="1876F5AD">
            <w:pPr>
              <w:spacing w:line="400" w:lineRule="exact"/>
              <w:jc w:val="left"/>
              <w:rPr>
                <w:rFonts w:hint="eastAsia" w:ascii="宋体" w:hAnsi="宋体" w:cs="Arial"/>
                <w:bCs/>
                <w:sz w:val="24"/>
                <w:szCs w:val="24"/>
                <w:highlight w:val="none"/>
              </w:rPr>
            </w:pPr>
            <w:r>
              <w:rPr>
                <w:rFonts w:hint="eastAsia" w:ascii="宋体" w:hAnsi="宋体" w:cs="Arial"/>
                <w:bCs/>
                <w:sz w:val="24"/>
                <w:szCs w:val="24"/>
                <w:highlight w:val="none"/>
              </w:rPr>
              <w:t>项目</w:t>
            </w:r>
            <w:r>
              <w:rPr>
                <w:rFonts w:ascii="宋体" w:hAnsi="宋体" w:cs="Arial"/>
                <w:bCs/>
                <w:sz w:val="24"/>
                <w:szCs w:val="24"/>
                <w:highlight w:val="none"/>
              </w:rPr>
              <w:t>编号：</w:t>
            </w:r>
          </w:p>
        </w:tc>
        <w:tc>
          <w:tcPr>
            <w:tcW w:w="5307" w:type="dxa"/>
            <w:vAlign w:val="center"/>
          </w:tcPr>
          <w:p w14:paraId="26BBA67F">
            <w:pPr>
              <w:spacing w:line="400" w:lineRule="exact"/>
              <w:rPr>
                <w:rFonts w:hint="eastAsia" w:ascii="宋体" w:hAnsi="宋体" w:cs="Arial"/>
                <w:sz w:val="24"/>
                <w:szCs w:val="24"/>
                <w:highlight w:val="none"/>
              </w:rPr>
            </w:pPr>
            <w:r>
              <w:rPr>
                <w:rFonts w:hint="eastAsia" w:ascii="宋体" w:hAnsi="宋体" w:cs="Arial"/>
                <w:sz w:val="24"/>
                <w:szCs w:val="24"/>
                <w:highlight w:val="none"/>
              </w:rPr>
              <w:t>详见“磋商公告”</w:t>
            </w:r>
          </w:p>
        </w:tc>
      </w:tr>
      <w:tr w14:paraId="76394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0" w:type="dxa"/>
            <w:vAlign w:val="center"/>
          </w:tcPr>
          <w:p w14:paraId="7A28087F">
            <w:pPr>
              <w:spacing w:line="400" w:lineRule="exact"/>
              <w:jc w:val="center"/>
              <w:rPr>
                <w:bCs/>
                <w:highlight w:val="none"/>
              </w:rPr>
            </w:pPr>
            <w:r>
              <w:rPr>
                <w:rFonts w:hint="eastAsia"/>
                <w:bCs/>
                <w:highlight w:val="none"/>
              </w:rPr>
              <w:t>2</w:t>
            </w:r>
          </w:p>
        </w:tc>
        <w:tc>
          <w:tcPr>
            <w:tcW w:w="2265" w:type="dxa"/>
            <w:vAlign w:val="center"/>
          </w:tcPr>
          <w:p w14:paraId="6CDAD836">
            <w:pPr>
              <w:spacing w:line="400" w:lineRule="exact"/>
              <w:ind w:left="-3"/>
              <w:jc w:val="left"/>
              <w:rPr>
                <w:rFonts w:hint="eastAsia" w:ascii="宋体" w:hAnsi="宋体" w:cs="Arial"/>
                <w:bCs/>
                <w:sz w:val="24"/>
                <w:szCs w:val="24"/>
                <w:highlight w:val="none"/>
              </w:rPr>
            </w:pPr>
            <w:r>
              <w:rPr>
                <w:rFonts w:ascii="宋体" w:hAnsi="宋体" w:cs="Arial"/>
                <w:bCs/>
                <w:sz w:val="24"/>
                <w:szCs w:val="24"/>
                <w:highlight w:val="none"/>
              </w:rPr>
              <w:t>采购人：</w:t>
            </w:r>
          </w:p>
          <w:p w14:paraId="22A574FF">
            <w:pPr>
              <w:spacing w:line="400" w:lineRule="exact"/>
              <w:ind w:left="-3"/>
              <w:jc w:val="left"/>
              <w:rPr>
                <w:rFonts w:hint="eastAsia" w:ascii="宋体" w:hAnsi="宋体" w:cs="Arial"/>
                <w:bCs/>
                <w:sz w:val="24"/>
                <w:szCs w:val="24"/>
                <w:highlight w:val="none"/>
              </w:rPr>
            </w:pPr>
            <w:r>
              <w:rPr>
                <w:rFonts w:hint="eastAsia" w:ascii="宋体" w:hAnsi="宋体"/>
                <w:bCs/>
                <w:sz w:val="24"/>
                <w:highlight w:val="none"/>
              </w:rPr>
              <w:t>联系方式：</w:t>
            </w:r>
          </w:p>
        </w:tc>
        <w:tc>
          <w:tcPr>
            <w:tcW w:w="5307" w:type="dxa"/>
            <w:vAlign w:val="center"/>
          </w:tcPr>
          <w:p w14:paraId="40862B56">
            <w:pPr>
              <w:spacing w:line="400" w:lineRule="exact"/>
              <w:rPr>
                <w:rFonts w:hint="eastAsia" w:ascii="宋体" w:hAnsi="宋体" w:cs="Arial"/>
                <w:sz w:val="24"/>
                <w:szCs w:val="24"/>
                <w:highlight w:val="none"/>
              </w:rPr>
            </w:pPr>
            <w:r>
              <w:rPr>
                <w:rFonts w:hint="eastAsia" w:ascii="宋体" w:hAnsi="宋体" w:cs="Arial"/>
                <w:sz w:val="24"/>
                <w:szCs w:val="24"/>
                <w:highlight w:val="none"/>
              </w:rPr>
              <w:t>详见“磋商公告”</w:t>
            </w:r>
          </w:p>
        </w:tc>
      </w:tr>
      <w:tr w14:paraId="5A5C05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0" w:type="dxa"/>
            <w:vAlign w:val="center"/>
          </w:tcPr>
          <w:p w14:paraId="0F695C01">
            <w:pPr>
              <w:spacing w:line="400" w:lineRule="exact"/>
              <w:jc w:val="center"/>
              <w:rPr>
                <w:bCs/>
                <w:highlight w:val="none"/>
              </w:rPr>
            </w:pPr>
            <w:r>
              <w:rPr>
                <w:rFonts w:hint="eastAsia"/>
                <w:bCs/>
                <w:highlight w:val="none"/>
              </w:rPr>
              <w:t>3</w:t>
            </w:r>
          </w:p>
        </w:tc>
        <w:tc>
          <w:tcPr>
            <w:tcW w:w="2265" w:type="dxa"/>
            <w:vAlign w:val="center"/>
          </w:tcPr>
          <w:p w14:paraId="57FB5952">
            <w:pPr>
              <w:spacing w:line="400" w:lineRule="exact"/>
              <w:ind w:left="-3" w:firstLine="3"/>
              <w:jc w:val="left"/>
              <w:rPr>
                <w:rFonts w:hint="eastAsia" w:ascii="宋体" w:hAnsi="宋体" w:cs="Arial"/>
                <w:bCs/>
                <w:sz w:val="24"/>
                <w:szCs w:val="24"/>
                <w:highlight w:val="none"/>
              </w:rPr>
            </w:pPr>
            <w:r>
              <w:rPr>
                <w:rFonts w:hint="eastAsia" w:ascii="宋体" w:hAnsi="宋体" w:cs="Arial"/>
                <w:bCs/>
                <w:sz w:val="24"/>
                <w:szCs w:val="24"/>
                <w:highlight w:val="none"/>
              </w:rPr>
              <w:t>代理机构：</w:t>
            </w:r>
          </w:p>
          <w:p w14:paraId="609E7927">
            <w:pPr>
              <w:spacing w:line="400" w:lineRule="exact"/>
              <w:jc w:val="left"/>
              <w:rPr>
                <w:rFonts w:hint="eastAsia" w:ascii="宋体" w:hAnsi="宋体" w:cs="Arial"/>
                <w:bCs/>
                <w:sz w:val="24"/>
                <w:szCs w:val="24"/>
                <w:highlight w:val="none"/>
              </w:rPr>
            </w:pPr>
            <w:r>
              <w:rPr>
                <w:rFonts w:hint="eastAsia" w:ascii="宋体" w:hAnsi="宋体" w:cs="Arial"/>
                <w:bCs/>
                <w:sz w:val="24"/>
                <w:szCs w:val="24"/>
                <w:highlight w:val="none"/>
              </w:rPr>
              <w:t>联系方式：</w:t>
            </w:r>
          </w:p>
        </w:tc>
        <w:tc>
          <w:tcPr>
            <w:tcW w:w="5307" w:type="dxa"/>
            <w:vAlign w:val="center"/>
          </w:tcPr>
          <w:p w14:paraId="3A9AA941">
            <w:pPr>
              <w:spacing w:line="400" w:lineRule="exact"/>
              <w:rPr>
                <w:rFonts w:hint="eastAsia" w:ascii="宋体" w:hAnsi="宋体" w:cs="Arial"/>
                <w:sz w:val="24"/>
                <w:szCs w:val="24"/>
                <w:highlight w:val="none"/>
              </w:rPr>
            </w:pPr>
            <w:r>
              <w:rPr>
                <w:rFonts w:hint="eastAsia" w:ascii="宋体" w:hAnsi="宋体" w:cs="Arial"/>
                <w:sz w:val="24"/>
                <w:szCs w:val="24"/>
                <w:highlight w:val="none"/>
              </w:rPr>
              <w:t>详见“磋商公告”</w:t>
            </w:r>
          </w:p>
        </w:tc>
      </w:tr>
      <w:tr w14:paraId="3285E1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20" w:type="dxa"/>
            <w:vAlign w:val="center"/>
          </w:tcPr>
          <w:p w14:paraId="174C902B">
            <w:pPr>
              <w:spacing w:line="400" w:lineRule="exact"/>
              <w:jc w:val="center"/>
              <w:rPr>
                <w:bCs/>
                <w:highlight w:val="none"/>
              </w:rPr>
            </w:pPr>
            <w:r>
              <w:rPr>
                <w:rFonts w:hint="eastAsia"/>
                <w:bCs/>
                <w:highlight w:val="none"/>
              </w:rPr>
              <w:t>4</w:t>
            </w:r>
          </w:p>
        </w:tc>
        <w:tc>
          <w:tcPr>
            <w:tcW w:w="2265" w:type="dxa"/>
            <w:vAlign w:val="center"/>
          </w:tcPr>
          <w:p w14:paraId="6F4374B8">
            <w:pPr>
              <w:spacing w:line="400" w:lineRule="exact"/>
              <w:ind w:left="-3" w:firstLine="3"/>
              <w:jc w:val="left"/>
              <w:rPr>
                <w:rFonts w:hint="eastAsia" w:ascii="宋体" w:hAnsi="宋体" w:cs="Arial"/>
                <w:bCs/>
                <w:sz w:val="24"/>
                <w:szCs w:val="24"/>
                <w:highlight w:val="none"/>
              </w:rPr>
            </w:pPr>
            <w:r>
              <w:rPr>
                <w:rFonts w:hint="eastAsia" w:ascii="宋体" w:hAnsi="宋体" w:cs="Arial"/>
                <w:bCs/>
                <w:sz w:val="24"/>
                <w:szCs w:val="24"/>
                <w:highlight w:val="none"/>
              </w:rPr>
              <w:t>包段（包别）划分：</w:t>
            </w:r>
          </w:p>
        </w:tc>
        <w:tc>
          <w:tcPr>
            <w:tcW w:w="5307" w:type="dxa"/>
            <w:vAlign w:val="center"/>
          </w:tcPr>
          <w:p w14:paraId="09E1B267">
            <w:pPr>
              <w:spacing w:line="400" w:lineRule="exact"/>
              <w:rPr>
                <w:rFonts w:hint="eastAsia" w:ascii="宋体" w:hAnsi="宋体" w:cs="Arial"/>
                <w:sz w:val="24"/>
                <w:szCs w:val="24"/>
                <w:highlight w:val="none"/>
              </w:rPr>
            </w:pPr>
            <w:r>
              <w:rPr>
                <w:rFonts w:hint="eastAsia" w:ascii="宋体" w:hAnsi="宋体" w:cs="Arial"/>
                <w:sz w:val="24"/>
                <w:szCs w:val="24"/>
                <w:highlight w:val="none"/>
              </w:rPr>
              <w:t>详见“磋商公告”</w:t>
            </w:r>
          </w:p>
        </w:tc>
      </w:tr>
      <w:tr w14:paraId="39C3DE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0" w:type="dxa"/>
            <w:vAlign w:val="center"/>
          </w:tcPr>
          <w:p w14:paraId="551A5BF2">
            <w:pPr>
              <w:spacing w:line="400" w:lineRule="exact"/>
              <w:jc w:val="center"/>
              <w:rPr>
                <w:bCs/>
                <w:highlight w:val="none"/>
              </w:rPr>
            </w:pPr>
            <w:r>
              <w:rPr>
                <w:rFonts w:hint="eastAsia"/>
                <w:bCs/>
                <w:highlight w:val="none"/>
              </w:rPr>
              <w:t>5</w:t>
            </w:r>
          </w:p>
        </w:tc>
        <w:tc>
          <w:tcPr>
            <w:tcW w:w="2265" w:type="dxa"/>
            <w:vAlign w:val="center"/>
          </w:tcPr>
          <w:p w14:paraId="6F462C27">
            <w:pPr>
              <w:spacing w:line="400" w:lineRule="exact"/>
              <w:jc w:val="left"/>
              <w:rPr>
                <w:rFonts w:hint="eastAsia" w:ascii="宋体" w:hAnsi="宋体" w:cs="Arial"/>
                <w:bCs/>
                <w:sz w:val="24"/>
                <w:szCs w:val="24"/>
                <w:highlight w:val="none"/>
              </w:rPr>
            </w:pPr>
            <w:r>
              <w:rPr>
                <w:rFonts w:hint="eastAsia" w:ascii="宋体" w:hAnsi="宋体" w:cs="Arial"/>
                <w:bCs/>
                <w:sz w:val="24"/>
                <w:szCs w:val="24"/>
                <w:highlight w:val="none"/>
              </w:rPr>
              <w:t>磋商</w:t>
            </w:r>
            <w:r>
              <w:rPr>
                <w:rFonts w:ascii="宋体" w:hAnsi="宋体" w:cs="Arial"/>
                <w:bCs/>
                <w:sz w:val="24"/>
                <w:szCs w:val="24"/>
                <w:highlight w:val="none"/>
              </w:rPr>
              <w:t>有效期：</w:t>
            </w:r>
          </w:p>
        </w:tc>
        <w:tc>
          <w:tcPr>
            <w:tcW w:w="5307" w:type="dxa"/>
            <w:vAlign w:val="center"/>
          </w:tcPr>
          <w:p w14:paraId="7218BAD1">
            <w:pPr>
              <w:spacing w:line="400" w:lineRule="exact"/>
              <w:rPr>
                <w:rFonts w:hint="eastAsia" w:ascii="宋体" w:hAnsi="宋体" w:cs="Arial"/>
                <w:sz w:val="24"/>
                <w:szCs w:val="24"/>
                <w:highlight w:val="none"/>
              </w:rPr>
            </w:pPr>
            <w:r>
              <w:rPr>
                <w:rFonts w:hint="eastAsia" w:ascii="宋体" w:hAnsi="宋体" w:cs="Arial"/>
                <w:sz w:val="24"/>
                <w:szCs w:val="24"/>
                <w:highlight w:val="none"/>
              </w:rPr>
              <w:t>磋商响应文件递交截止</w:t>
            </w:r>
            <w:r>
              <w:rPr>
                <w:rFonts w:ascii="宋体" w:hAnsi="宋体" w:cs="Arial"/>
                <w:sz w:val="24"/>
                <w:szCs w:val="24"/>
                <w:highlight w:val="none"/>
              </w:rPr>
              <w:t>后</w:t>
            </w:r>
            <w:r>
              <w:rPr>
                <w:rFonts w:hint="eastAsia" w:ascii="宋体" w:hAnsi="宋体" w:cs="Arial"/>
                <w:sz w:val="24"/>
                <w:szCs w:val="24"/>
                <w:highlight w:val="none"/>
                <w:u w:val="single"/>
              </w:rPr>
              <w:t>90</w:t>
            </w:r>
            <w:r>
              <w:rPr>
                <w:rFonts w:ascii="宋体" w:hAnsi="宋体" w:cs="Arial"/>
                <w:sz w:val="24"/>
                <w:szCs w:val="24"/>
                <w:highlight w:val="none"/>
              </w:rPr>
              <w:t>天</w:t>
            </w:r>
          </w:p>
        </w:tc>
      </w:tr>
      <w:tr w14:paraId="523734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0" w:type="dxa"/>
            <w:vAlign w:val="center"/>
          </w:tcPr>
          <w:p w14:paraId="2A392191">
            <w:pPr>
              <w:spacing w:line="400" w:lineRule="exact"/>
              <w:jc w:val="center"/>
              <w:rPr>
                <w:bCs/>
                <w:highlight w:val="none"/>
              </w:rPr>
            </w:pPr>
            <w:r>
              <w:rPr>
                <w:rFonts w:hint="eastAsia"/>
                <w:bCs/>
                <w:highlight w:val="none"/>
              </w:rPr>
              <w:t>6</w:t>
            </w:r>
          </w:p>
        </w:tc>
        <w:tc>
          <w:tcPr>
            <w:tcW w:w="2265" w:type="dxa"/>
            <w:vAlign w:val="center"/>
          </w:tcPr>
          <w:p w14:paraId="6CC977F6">
            <w:pPr>
              <w:pStyle w:val="19"/>
              <w:spacing w:line="400" w:lineRule="exact"/>
              <w:jc w:val="left"/>
              <w:rPr>
                <w:rFonts w:hint="eastAsia" w:ascii="宋体" w:hAnsi="宋体" w:eastAsia="宋体" w:cs="Arial"/>
                <w:bCs/>
                <w:sz w:val="24"/>
                <w:szCs w:val="24"/>
                <w:highlight w:val="none"/>
                <w:lang w:bidi="ar-SA"/>
              </w:rPr>
            </w:pPr>
            <w:r>
              <w:rPr>
                <w:rFonts w:hint="eastAsia" w:ascii="宋体" w:hAnsi="宋体" w:eastAsia="宋体" w:cs="Arial"/>
                <w:bCs/>
                <w:sz w:val="24"/>
                <w:szCs w:val="24"/>
                <w:highlight w:val="none"/>
                <w:lang w:bidi="ar-SA"/>
              </w:rPr>
              <w:t>响应保证金：</w:t>
            </w:r>
          </w:p>
        </w:tc>
        <w:tc>
          <w:tcPr>
            <w:tcW w:w="5307" w:type="dxa"/>
            <w:vAlign w:val="center"/>
          </w:tcPr>
          <w:p w14:paraId="080C12BB">
            <w:pPr>
              <w:pStyle w:val="19"/>
              <w:spacing w:line="400" w:lineRule="exact"/>
              <w:rPr>
                <w:highlight w:val="none"/>
              </w:rPr>
            </w:pPr>
            <w:r>
              <w:rPr>
                <w:rFonts w:hint="eastAsia" w:ascii="宋体" w:hAnsi="宋体" w:eastAsia="宋体" w:cs="Arial"/>
                <w:sz w:val="24"/>
                <w:szCs w:val="24"/>
                <w:highlight w:val="none"/>
                <w:lang w:bidi="ar-SA"/>
              </w:rPr>
              <w:t>无</w:t>
            </w:r>
          </w:p>
        </w:tc>
      </w:tr>
      <w:tr w14:paraId="6F4E60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20" w:type="dxa"/>
            <w:vAlign w:val="center"/>
          </w:tcPr>
          <w:p w14:paraId="2AF43DE8">
            <w:pPr>
              <w:spacing w:line="400" w:lineRule="exact"/>
              <w:jc w:val="center"/>
              <w:rPr>
                <w:bCs/>
                <w:highlight w:val="none"/>
              </w:rPr>
            </w:pPr>
            <w:r>
              <w:rPr>
                <w:rFonts w:hint="eastAsia"/>
                <w:bCs/>
                <w:highlight w:val="none"/>
              </w:rPr>
              <w:t>7</w:t>
            </w:r>
          </w:p>
        </w:tc>
        <w:tc>
          <w:tcPr>
            <w:tcW w:w="2265" w:type="dxa"/>
            <w:vAlign w:val="center"/>
          </w:tcPr>
          <w:p w14:paraId="76F7C086">
            <w:pPr>
              <w:pStyle w:val="19"/>
              <w:spacing w:line="400" w:lineRule="exact"/>
              <w:jc w:val="left"/>
              <w:rPr>
                <w:rFonts w:hint="eastAsia" w:ascii="宋体" w:hAnsi="宋体" w:eastAsia="宋体" w:cs="Arial"/>
                <w:bCs/>
                <w:sz w:val="24"/>
                <w:szCs w:val="24"/>
                <w:highlight w:val="none"/>
                <w:lang w:bidi="ar-SA"/>
              </w:rPr>
            </w:pPr>
            <w:r>
              <w:rPr>
                <w:rFonts w:hint="eastAsia" w:ascii="宋体" w:hAnsi="宋体" w:eastAsia="宋体" w:cs="Arial"/>
                <w:bCs/>
                <w:sz w:val="24"/>
                <w:szCs w:val="24"/>
                <w:highlight w:val="none"/>
                <w:lang w:bidi="ar-SA"/>
              </w:rPr>
              <w:t>履约保证金：</w:t>
            </w:r>
          </w:p>
        </w:tc>
        <w:tc>
          <w:tcPr>
            <w:tcW w:w="5307" w:type="dxa"/>
            <w:vAlign w:val="center"/>
          </w:tcPr>
          <w:p w14:paraId="19A1CD51">
            <w:pPr>
              <w:spacing w:line="400" w:lineRule="exact"/>
              <w:rPr>
                <w:highlight w:val="none"/>
              </w:rPr>
            </w:pPr>
            <w:r>
              <w:rPr>
                <w:rFonts w:hint="eastAsia" w:ascii="宋体" w:hAnsi="宋体" w:cs="Arial"/>
                <w:sz w:val="24"/>
                <w:szCs w:val="24"/>
                <w:highlight w:val="none"/>
              </w:rPr>
              <w:t>详见采购需求</w:t>
            </w:r>
          </w:p>
        </w:tc>
      </w:tr>
      <w:tr w14:paraId="5D961F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0" w:type="dxa"/>
            <w:vAlign w:val="center"/>
          </w:tcPr>
          <w:p w14:paraId="2CEB851B">
            <w:pPr>
              <w:spacing w:line="400" w:lineRule="exact"/>
              <w:jc w:val="center"/>
              <w:rPr>
                <w:bCs/>
                <w:highlight w:val="none"/>
              </w:rPr>
            </w:pPr>
            <w:r>
              <w:rPr>
                <w:rFonts w:hint="eastAsia"/>
                <w:bCs/>
                <w:highlight w:val="none"/>
              </w:rPr>
              <w:t>8</w:t>
            </w:r>
          </w:p>
        </w:tc>
        <w:tc>
          <w:tcPr>
            <w:tcW w:w="2265" w:type="dxa"/>
            <w:vAlign w:val="center"/>
          </w:tcPr>
          <w:p w14:paraId="625E2377">
            <w:pPr>
              <w:pStyle w:val="19"/>
              <w:spacing w:line="400" w:lineRule="exact"/>
              <w:jc w:val="left"/>
              <w:rPr>
                <w:rFonts w:hint="eastAsia" w:ascii="宋体" w:hAnsi="宋体" w:eastAsia="宋体" w:cs="Arial"/>
                <w:bCs/>
                <w:sz w:val="24"/>
                <w:szCs w:val="24"/>
                <w:highlight w:val="none"/>
                <w:lang w:bidi="ar-SA"/>
              </w:rPr>
            </w:pPr>
            <w:r>
              <w:rPr>
                <w:rFonts w:hint="eastAsia" w:ascii="宋体" w:hAnsi="宋体" w:eastAsia="宋体" w:cs="Arial"/>
                <w:bCs/>
                <w:sz w:val="24"/>
                <w:szCs w:val="24"/>
                <w:highlight w:val="none"/>
                <w:lang w:bidi="ar-SA"/>
              </w:rPr>
              <w:t>项目预算：</w:t>
            </w:r>
          </w:p>
        </w:tc>
        <w:tc>
          <w:tcPr>
            <w:tcW w:w="5307" w:type="dxa"/>
            <w:vAlign w:val="center"/>
          </w:tcPr>
          <w:p w14:paraId="50837115">
            <w:pPr>
              <w:pStyle w:val="19"/>
              <w:spacing w:line="400" w:lineRule="exact"/>
              <w:rPr>
                <w:rFonts w:hint="eastAsia" w:ascii="宋体" w:hAnsi="宋体" w:eastAsia="宋体" w:cs="Arial"/>
                <w:sz w:val="24"/>
                <w:szCs w:val="24"/>
                <w:highlight w:val="none"/>
                <w:lang w:bidi="ar-SA"/>
              </w:rPr>
            </w:pPr>
            <w:r>
              <w:rPr>
                <w:rFonts w:hint="eastAsia" w:ascii="宋体" w:hAnsi="宋体" w:eastAsia="宋体" w:cs="Arial"/>
                <w:sz w:val="24"/>
                <w:szCs w:val="24"/>
                <w:highlight w:val="none"/>
                <w:lang w:bidi="ar-SA"/>
              </w:rPr>
              <w:t>详见“磋商公告”（</w:t>
            </w:r>
            <w:r>
              <w:rPr>
                <w:rFonts w:hint="eastAsia" w:ascii="宋体" w:hAnsi="宋体" w:eastAsia="宋体" w:cs="Arial"/>
                <w:b/>
                <w:bCs/>
                <w:sz w:val="24"/>
                <w:szCs w:val="24"/>
                <w:highlight w:val="none"/>
                <w:lang w:bidi="ar-SA"/>
              </w:rPr>
              <w:t>超过项目最高限价为无效响应；如项目无最高限价，则超出项目预算金额为无效响应</w:t>
            </w:r>
            <w:r>
              <w:rPr>
                <w:rFonts w:hint="eastAsia" w:ascii="宋体" w:hAnsi="宋体" w:eastAsia="宋体" w:cs="Arial"/>
                <w:sz w:val="24"/>
                <w:szCs w:val="24"/>
                <w:highlight w:val="none"/>
                <w:lang w:bidi="ar-SA"/>
              </w:rPr>
              <w:t>）</w:t>
            </w:r>
          </w:p>
        </w:tc>
      </w:tr>
      <w:tr w14:paraId="6AEB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0" w:type="dxa"/>
            <w:vAlign w:val="center"/>
          </w:tcPr>
          <w:p w14:paraId="6337C8EF">
            <w:pPr>
              <w:spacing w:line="400" w:lineRule="exact"/>
              <w:jc w:val="center"/>
              <w:rPr>
                <w:bCs/>
                <w:highlight w:val="none"/>
              </w:rPr>
            </w:pPr>
            <w:r>
              <w:rPr>
                <w:rFonts w:hint="eastAsia"/>
                <w:bCs/>
                <w:highlight w:val="none"/>
              </w:rPr>
              <w:t>9</w:t>
            </w:r>
          </w:p>
        </w:tc>
        <w:tc>
          <w:tcPr>
            <w:tcW w:w="2265" w:type="dxa"/>
            <w:vAlign w:val="center"/>
          </w:tcPr>
          <w:p w14:paraId="6E2457C2">
            <w:pPr>
              <w:pStyle w:val="19"/>
              <w:spacing w:line="400" w:lineRule="exact"/>
              <w:jc w:val="left"/>
              <w:rPr>
                <w:rFonts w:hint="eastAsia" w:ascii="宋体" w:hAnsi="宋体" w:eastAsia="宋体" w:cs="Arial"/>
                <w:bCs/>
                <w:sz w:val="24"/>
                <w:szCs w:val="24"/>
                <w:highlight w:val="none"/>
                <w:lang w:bidi="ar-SA"/>
              </w:rPr>
            </w:pPr>
            <w:r>
              <w:rPr>
                <w:rFonts w:hint="eastAsia" w:ascii="宋体" w:hAnsi="宋体" w:eastAsia="宋体" w:cs="Arial"/>
                <w:bCs/>
                <w:sz w:val="24"/>
                <w:szCs w:val="24"/>
                <w:highlight w:val="none"/>
                <w:lang w:bidi="ar-SA"/>
              </w:rPr>
              <w:t>联合体响应：</w:t>
            </w:r>
          </w:p>
        </w:tc>
        <w:tc>
          <w:tcPr>
            <w:tcW w:w="5307" w:type="dxa"/>
            <w:vAlign w:val="center"/>
          </w:tcPr>
          <w:p w14:paraId="03478CA4">
            <w:pPr>
              <w:spacing w:line="400" w:lineRule="exact"/>
              <w:rPr>
                <w:rFonts w:hint="eastAsia" w:ascii="宋体" w:hAnsi="宋体" w:cs="Arial"/>
                <w:sz w:val="24"/>
                <w:szCs w:val="24"/>
                <w:highlight w:val="none"/>
              </w:rPr>
            </w:pPr>
            <w:r>
              <w:rPr>
                <w:rFonts w:hint="eastAsia" w:ascii="宋体" w:hAnsi="宋体" w:cs="Arial"/>
                <w:sz w:val="24"/>
                <w:szCs w:val="24"/>
                <w:highlight w:val="none"/>
              </w:rPr>
              <w:t>本项目不接受联合体响应</w:t>
            </w:r>
          </w:p>
        </w:tc>
      </w:tr>
      <w:tr w14:paraId="46575A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20" w:type="dxa"/>
            <w:vAlign w:val="center"/>
          </w:tcPr>
          <w:p w14:paraId="57E0B673">
            <w:pPr>
              <w:spacing w:line="400" w:lineRule="exact"/>
              <w:jc w:val="center"/>
              <w:rPr>
                <w:bCs/>
                <w:highlight w:val="none"/>
              </w:rPr>
            </w:pPr>
            <w:r>
              <w:rPr>
                <w:rFonts w:hint="eastAsia"/>
                <w:bCs/>
                <w:highlight w:val="none"/>
              </w:rPr>
              <w:t>10</w:t>
            </w:r>
          </w:p>
        </w:tc>
        <w:tc>
          <w:tcPr>
            <w:tcW w:w="2265" w:type="dxa"/>
            <w:vAlign w:val="center"/>
          </w:tcPr>
          <w:p w14:paraId="62C45170">
            <w:pPr>
              <w:spacing w:line="400" w:lineRule="exact"/>
              <w:jc w:val="left"/>
              <w:rPr>
                <w:rFonts w:hint="eastAsia" w:ascii="宋体" w:hAnsi="宋体" w:cs="Arial"/>
                <w:bCs/>
                <w:sz w:val="24"/>
                <w:szCs w:val="24"/>
                <w:highlight w:val="none"/>
              </w:rPr>
            </w:pPr>
            <w:r>
              <w:rPr>
                <w:rFonts w:hint="eastAsia" w:ascii="宋体" w:hAnsi="宋体" w:cs="Arial"/>
                <w:bCs/>
                <w:sz w:val="24"/>
                <w:szCs w:val="24"/>
                <w:highlight w:val="none"/>
              </w:rPr>
              <w:t>提交磋商响应文件截止时间及地点：</w:t>
            </w:r>
          </w:p>
        </w:tc>
        <w:tc>
          <w:tcPr>
            <w:tcW w:w="5307" w:type="dxa"/>
            <w:vAlign w:val="center"/>
          </w:tcPr>
          <w:p w14:paraId="2075129A">
            <w:pPr>
              <w:spacing w:line="400" w:lineRule="exact"/>
              <w:rPr>
                <w:rFonts w:hint="eastAsia" w:ascii="宋体" w:hAnsi="宋体" w:cs="Arial"/>
                <w:sz w:val="24"/>
                <w:szCs w:val="24"/>
                <w:highlight w:val="none"/>
              </w:rPr>
            </w:pPr>
            <w:r>
              <w:rPr>
                <w:rFonts w:hint="eastAsia" w:ascii="宋体" w:hAnsi="宋体" w:cs="Arial"/>
                <w:sz w:val="24"/>
                <w:szCs w:val="24"/>
                <w:highlight w:val="none"/>
              </w:rPr>
              <w:t>详见“磋商公告”</w:t>
            </w:r>
          </w:p>
        </w:tc>
      </w:tr>
      <w:tr w14:paraId="4E4530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20" w:type="dxa"/>
            <w:vAlign w:val="center"/>
          </w:tcPr>
          <w:p w14:paraId="20345E64">
            <w:pPr>
              <w:spacing w:line="400" w:lineRule="exact"/>
              <w:jc w:val="center"/>
              <w:rPr>
                <w:bCs/>
                <w:highlight w:val="none"/>
              </w:rPr>
            </w:pPr>
            <w:r>
              <w:rPr>
                <w:rFonts w:hint="eastAsia"/>
                <w:bCs/>
                <w:highlight w:val="none"/>
              </w:rPr>
              <w:t>11</w:t>
            </w:r>
          </w:p>
        </w:tc>
        <w:tc>
          <w:tcPr>
            <w:tcW w:w="2265" w:type="dxa"/>
            <w:vAlign w:val="center"/>
          </w:tcPr>
          <w:p w14:paraId="1415D98E">
            <w:pPr>
              <w:spacing w:line="400" w:lineRule="exact"/>
              <w:jc w:val="left"/>
              <w:rPr>
                <w:rFonts w:hint="eastAsia" w:ascii="宋体" w:hAnsi="宋体" w:cs="Arial"/>
                <w:bCs/>
                <w:sz w:val="24"/>
                <w:szCs w:val="24"/>
                <w:highlight w:val="none"/>
              </w:rPr>
            </w:pPr>
            <w:r>
              <w:rPr>
                <w:rFonts w:hint="eastAsia" w:ascii="宋体" w:hAnsi="宋体" w:cs="Arial"/>
                <w:bCs/>
                <w:sz w:val="24"/>
                <w:szCs w:val="24"/>
                <w:highlight w:val="none"/>
              </w:rPr>
              <w:t>磋商时间及地点：</w:t>
            </w:r>
          </w:p>
        </w:tc>
        <w:tc>
          <w:tcPr>
            <w:tcW w:w="5307" w:type="dxa"/>
            <w:vAlign w:val="center"/>
          </w:tcPr>
          <w:p w14:paraId="2547CB0B">
            <w:pPr>
              <w:spacing w:line="400" w:lineRule="exact"/>
              <w:rPr>
                <w:rFonts w:hint="eastAsia" w:ascii="宋体" w:hAnsi="宋体" w:cs="Arial"/>
                <w:sz w:val="24"/>
                <w:szCs w:val="24"/>
                <w:highlight w:val="none"/>
              </w:rPr>
            </w:pPr>
            <w:r>
              <w:rPr>
                <w:rFonts w:hint="eastAsia" w:ascii="宋体" w:hAnsi="宋体" w:cs="Arial"/>
                <w:sz w:val="24"/>
                <w:szCs w:val="24"/>
                <w:highlight w:val="none"/>
              </w:rPr>
              <w:t>同提交磋商响应文件提交截止时间及地点</w:t>
            </w:r>
          </w:p>
        </w:tc>
      </w:tr>
      <w:tr w14:paraId="25BFD1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0" w:type="dxa"/>
            <w:vAlign w:val="center"/>
          </w:tcPr>
          <w:p w14:paraId="4F5502C3">
            <w:pPr>
              <w:spacing w:line="400" w:lineRule="exact"/>
              <w:jc w:val="center"/>
              <w:rPr>
                <w:bCs/>
                <w:highlight w:val="none"/>
              </w:rPr>
            </w:pPr>
            <w:r>
              <w:rPr>
                <w:rFonts w:hint="eastAsia"/>
                <w:bCs/>
                <w:highlight w:val="none"/>
              </w:rPr>
              <w:t>12</w:t>
            </w:r>
          </w:p>
        </w:tc>
        <w:tc>
          <w:tcPr>
            <w:tcW w:w="2265" w:type="dxa"/>
            <w:vAlign w:val="center"/>
          </w:tcPr>
          <w:p w14:paraId="0B57CE55">
            <w:pPr>
              <w:spacing w:line="400" w:lineRule="exact"/>
              <w:jc w:val="left"/>
              <w:rPr>
                <w:rFonts w:hint="eastAsia" w:ascii="宋体" w:hAnsi="宋体" w:cs="Arial"/>
                <w:bCs/>
                <w:sz w:val="24"/>
                <w:szCs w:val="24"/>
                <w:highlight w:val="none"/>
              </w:rPr>
            </w:pPr>
            <w:r>
              <w:rPr>
                <w:rFonts w:hint="eastAsia" w:ascii="宋体" w:hAnsi="宋体" w:cs="Arial"/>
                <w:bCs/>
                <w:sz w:val="24"/>
                <w:szCs w:val="24"/>
                <w:highlight w:val="none"/>
              </w:rPr>
              <w:t>评审方法：</w:t>
            </w:r>
          </w:p>
        </w:tc>
        <w:tc>
          <w:tcPr>
            <w:tcW w:w="5307" w:type="dxa"/>
            <w:vAlign w:val="center"/>
          </w:tcPr>
          <w:p w14:paraId="42933E0A">
            <w:pPr>
              <w:spacing w:line="400" w:lineRule="exact"/>
              <w:rPr>
                <w:rFonts w:hint="eastAsia" w:ascii="宋体" w:hAnsi="宋体" w:cs="Arial"/>
                <w:sz w:val="24"/>
                <w:szCs w:val="24"/>
                <w:highlight w:val="none"/>
              </w:rPr>
            </w:pPr>
            <w:r>
              <w:rPr>
                <w:rFonts w:hint="eastAsia" w:ascii="宋体" w:hAnsi="宋体" w:cs="Arial"/>
                <w:sz w:val="24"/>
                <w:szCs w:val="24"/>
                <w:highlight w:val="none"/>
              </w:rPr>
              <w:t>综合评分法</w:t>
            </w:r>
          </w:p>
        </w:tc>
      </w:tr>
      <w:tr w14:paraId="22A90E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jc w:val="center"/>
        </w:trPr>
        <w:tc>
          <w:tcPr>
            <w:tcW w:w="720" w:type="dxa"/>
            <w:vAlign w:val="center"/>
          </w:tcPr>
          <w:p w14:paraId="4AC50F76">
            <w:pPr>
              <w:spacing w:line="400" w:lineRule="exact"/>
              <w:jc w:val="center"/>
              <w:rPr>
                <w:highlight w:val="none"/>
              </w:rPr>
            </w:pPr>
            <w:r>
              <w:rPr>
                <w:rFonts w:hint="eastAsia"/>
                <w:highlight w:val="none"/>
              </w:rPr>
              <w:t>13</w:t>
            </w:r>
          </w:p>
        </w:tc>
        <w:tc>
          <w:tcPr>
            <w:tcW w:w="2265" w:type="dxa"/>
            <w:vAlign w:val="center"/>
          </w:tcPr>
          <w:p w14:paraId="04EEECE0">
            <w:pPr>
              <w:pStyle w:val="19"/>
              <w:spacing w:line="400" w:lineRule="exact"/>
              <w:jc w:val="left"/>
              <w:rPr>
                <w:rFonts w:hint="eastAsia" w:ascii="宋体" w:hAnsi="宋体" w:eastAsia="宋体" w:cs="Arial"/>
                <w:sz w:val="24"/>
                <w:szCs w:val="24"/>
                <w:highlight w:val="none"/>
              </w:rPr>
            </w:pPr>
            <w:r>
              <w:rPr>
                <w:rFonts w:hint="eastAsia" w:ascii="宋体" w:hAnsi="宋体" w:eastAsia="宋体" w:cs="Arial"/>
                <w:sz w:val="24"/>
                <w:szCs w:val="24"/>
                <w:highlight w:val="none"/>
                <w:lang w:bidi="ar-SA"/>
              </w:rPr>
              <w:t>质疑、答疑、澄清</w:t>
            </w:r>
          </w:p>
        </w:tc>
        <w:tc>
          <w:tcPr>
            <w:tcW w:w="5307" w:type="dxa"/>
            <w:vAlign w:val="center"/>
          </w:tcPr>
          <w:p w14:paraId="5D01FA08">
            <w:pPr>
              <w:pStyle w:val="19"/>
              <w:spacing w:line="400" w:lineRule="exact"/>
              <w:rPr>
                <w:rFonts w:hint="eastAsia" w:ascii="宋体" w:hAnsi="宋体" w:eastAsia="宋体" w:cs="Arial"/>
                <w:bCs/>
                <w:color w:val="000000"/>
                <w:sz w:val="24"/>
                <w:szCs w:val="24"/>
                <w:highlight w:val="none"/>
                <w:lang w:bidi="ar-SA"/>
              </w:rPr>
            </w:pPr>
            <w:r>
              <w:rPr>
                <w:rFonts w:hint="eastAsia" w:ascii="宋体" w:hAnsi="宋体" w:eastAsia="宋体" w:cs="Arial"/>
                <w:bCs/>
                <w:color w:val="000000"/>
                <w:sz w:val="24"/>
                <w:szCs w:val="24"/>
                <w:highlight w:val="none"/>
                <w:lang w:bidi="ar-SA"/>
              </w:rPr>
              <w:t>1、供应商质疑均应按照本磋商文件中供应商须知（七）质疑与投诉的规定；</w:t>
            </w:r>
          </w:p>
          <w:p w14:paraId="2FE1E8A3">
            <w:pPr>
              <w:spacing w:line="400" w:lineRule="exact"/>
              <w:rPr>
                <w:rFonts w:hint="eastAsia" w:ascii="宋体" w:hAnsi="宋体" w:cs="Arial"/>
                <w:bCs/>
                <w:color w:val="000000"/>
                <w:sz w:val="24"/>
                <w:szCs w:val="24"/>
                <w:highlight w:val="none"/>
              </w:rPr>
            </w:pPr>
            <w:r>
              <w:rPr>
                <w:rFonts w:hint="eastAsia" w:ascii="宋体" w:hAnsi="宋体"/>
                <w:bCs/>
                <w:color w:val="000000"/>
                <w:sz w:val="24"/>
                <w:szCs w:val="24"/>
                <w:highlight w:val="none"/>
              </w:rPr>
              <w:t>2、接受质疑的方式：</w:t>
            </w:r>
            <w:r>
              <w:rPr>
                <w:bCs/>
                <w:sz w:val="24"/>
                <w:szCs w:val="24"/>
                <w:highlight w:val="none"/>
              </w:rPr>
              <w:t>供应商应以书面形式向采购人和采购代理机构提出质疑，同时发送一份与书面质疑内容一致的质疑电子版至采购代理机构邮箱</w:t>
            </w:r>
            <w:r>
              <w:rPr>
                <w:rFonts w:hint="eastAsia"/>
                <w:bCs/>
                <w:sz w:val="24"/>
                <w:szCs w:val="24"/>
                <w:highlight w:val="none"/>
              </w:rPr>
              <w:t>（1924585982@qq.com）</w:t>
            </w:r>
            <w:r>
              <w:rPr>
                <w:bCs/>
                <w:sz w:val="24"/>
                <w:szCs w:val="24"/>
                <w:highlight w:val="none"/>
              </w:rPr>
              <w:t>；为保证质疑的及时处理，请质疑人在发出质疑后及时与代理机构电话确认</w:t>
            </w:r>
            <w:r>
              <w:rPr>
                <w:rFonts w:hint="eastAsia" w:ascii="宋体" w:hAnsi="宋体" w:cs="Arial"/>
                <w:bCs/>
                <w:color w:val="000000"/>
                <w:sz w:val="24"/>
                <w:szCs w:val="24"/>
                <w:highlight w:val="none"/>
              </w:rPr>
              <w:t>；</w:t>
            </w:r>
          </w:p>
          <w:p w14:paraId="08A685FE">
            <w:pPr>
              <w:spacing w:line="400" w:lineRule="exact"/>
              <w:rPr>
                <w:rFonts w:hint="eastAsia" w:ascii="宋体" w:hAnsi="宋体" w:cs="Arial"/>
                <w:bCs/>
                <w:color w:val="000000"/>
                <w:sz w:val="24"/>
                <w:highlight w:val="none"/>
              </w:rPr>
            </w:pPr>
            <w:r>
              <w:rPr>
                <w:rFonts w:hint="eastAsia" w:ascii="宋体" w:hAnsi="宋体" w:cs="Arial"/>
                <w:bCs/>
                <w:color w:val="000000"/>
                <w:sz w:val="24"/>
                <w:highlight w:val="none"/>
              </w:rPr>
              <w:t>3、接受采购文件质疑的截止时间：供应商应在响应文件提交截止时间之前提出；</w:t>
            </w:r>
          </w:p>
          <w:p w14:paraId="776F0D67">
            <w:pPr>
              <w:spacing w:line="400" w:lineRule="exact"/>
              <w:rPr>
                <w:rFonts w:hint="eastAsia" w:ascii="宋体" w:hAnsi="宋体" w:cs="Arial"/>
                <w:bCs/>
                <w:color w:val="000000"/>
                <w:sz w:val="24"/>
                <w:highlight w:val="none"/>
              </w:rPr>
            </w:pPr>
            <w:r>
              <w:rPr>
                <w:rFonts w:hint="eastAsia" w:ascii="宋体" w:hAnsi="宋体"/>
                <w:bCs/>
                <w:color w:val="000000"/>
                <w:sz w:val="24"/>
                <w:highlight w:val="none"/>
              </w:rPr>
              <w:t>4、</w:t>
            </w:r>
            <w:r>
              <w:rPr>
                <w:rFonts w:hint="eastAsia" w:ascii="宋体" w:hAnsi="宋体" w:cs="Arial"/>
                <w:bCs/>
                <w:color w:val="000000"/>
                <w:sz w:val="24"/>
                <w:highlight w:val="none"/>
              </w:rPr>
              <w:t>供应商在响应截止时间前务必关注郎溪县人民医院（http://www.lxgkjt.com/）是否有更正公告，否则造成的一切后果由供应商自行承担。网上公布的更正公告视同通知了所有供应商，为采购文件的有效组成部分；</w:t>
            </w:r>
          </w:p>
          <w:p w14:paraId="7A622818">
            <w:pPr>
              <w:spacing w:line="400" w:lineRule="exact"/>
              <w:rPr>
                <w:rFonts w:hint="eastAsia" w:ascii="宋体" w:hAnsi="宋体" w:cs="Arial"/>
                <w:sz w:val="24"/>
                <w:szCs w:val="24"/>
                <w:highlight w:val="none"/>
              </w:rPr>
            </w:pPr>
            <w:r>
              <w:rPr>
                <w:rFonts w:hint="eastAsia" w:ascii="宋体" w:hAnsi="宋体" w:cs="Arial"/>
                <w:bCs/>
                <w:color w:val="000000"/>
                <w:sz w:val="24"/>
                <w:highlight w:val="none"/>
              </w:rPr>
              <w:t>5、</w:t>
            </w:r>
            <w:r>
              <w:rPr>
                <w:rFonts w:hint="eastAsia" w:ascii="宋体" w:hAnsi="宋体"/>
                <w:bCs/>
                <w:color w:val="000000"/>
                <w:sz w:val="24"/>
                <w:highlight w:val="none"/>
              </w:rPr>
              <w:t>采购人和采购代理机构联系部门（负</w:t>
            </w:r>
            <w:r>
              <w:rPr>
                <w:rFonts w:hint="eastAsia" w:ascii="宋体" w:hAnsi="宋体"/>
                <w:color w:val="000000"/>
                <w:sz w:val="24"/>
                <w:highlight w:val="none"/>
              </w:rPr>
              <w:t>责人）、联系电话、通讯地址详见公告。</w:t>
            </w:r>
          </w:p>
        </w:tc>
      </w:tr>
      <w:tr w14:paraId="5814C6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4A97EF8E">
            <w:pPr>
              <w:spacing w:line="400" w:lineRule="exact"/>
              <w:jc w:val="center"/>
              <w:rPr>
                <w:highlight w:val="none"/>
              </w:rPr>
            </w:pPr>
            <w:r>
              <w:rPr>
                <w:rFonts w:hint="eastAsia"/>
                <w:highlight w:val="none"/>
              </w:rPr>
              <w:t>1</w:t>
            </w:r>
            <w:r>
              <w:rPr>
                <w:highlight w:val="none"/>
              </w:rPr>
              <w:t>4</w:t>
            </w:r>
          </w:p>
        </w:tc>
        <w:tc>
          <w:tcPr>
            <w:tcW w:w="2265" w:type="dxa"/>
            <w:vAlign w:val="center"/>
          </w:tcPr>
          <w:p w14:paraId="41CDED28">
            <w:pPr>
              <w:spacing w:line="400" w:lineRule="exact"/>
              <w:jc w:val="left"/>
              <w:rPr>
                <w:rFonts w:hint="eastAsia" w:ascii="宋体" w:hAnsi="宋体" w:cs="Arial"/>
                <w:sz w:val="24"/>
                <w:szCs w:val="24"/>
                <w:highlight w:val="none"/>
              </w:rPr>
            </w:pPr>
            <w:r>
              <w:rPr>
                <w:rFonts w:hint="eastAsia" w:ascii="宋体" w:hAnsi="宋体" w:cs="Arial"/>
                <w:sz w:val="24"/>
                <w:szCs w:val="24"/>
                <w:highlight w:val="none"/>
              </w:rPr>
              <w:t>响应文件提交</w:t>
            </w:r>
          </w:p>
        </w:tc>
        <w:tc>
          <w:tcPr>
            <w:tcW w:w="5307" w:type="dxa"/>
            <w:vAlign w:val="center"/>
          </w:tcPr>
          <w:p w14:paraId="140FF7D1">
            <w:pPr>
              <w:rPr>
                <w:rFonts w:hint="eastAsia" w:ascii="宋体" w:hAnsi="宋体" w:cs="宋体"/>
                <w:b/>
                <w:bCs/>
                <w:sz w:val="28"/>
                <w:szCs w:val="28"/>
                <w:highlight w:val="none"/>
              </w:rPr>
            </w:pPr>
            <w:r>
              <w:rPr>
                <w:rFonts w:hint="eastAsia" w:ascii="宋体" w:hAnsi="宋体" w:cs="宋体"/>
                <w:b/>
                <w:bCs/>
                <w:sz w:val="28"/>
                <w:szCs w:val="28"/>
                <w:highlight w:val="none"/>
              </w:rPr>
              <w:t>1、</w:t>
            </w:r>
            <w:r>
              <w:rPr>
                <w:rFonts w:ascii="宋体" w:hAnsi="宋体" w:cs="宋体"/>
                <w:b/>
                <w:bCs/>
                <w:sz w:val="28"/>
                <w:szCs w:val="28"/>
                <w:highlight w:val="none"/>
              </w:rPr>
              <w:t>一式三份，正本一份副本二份，应分别胶装成册，U盘电子档（PDF盖章版）一份，电子档文件命名要求：公司名称+项目名称；</w:t>
            </w:r>
          </w:p>
          <w:p w14:paraId="43A2D010">
            <w:pPr>
              <w:autoSpaceDE w:val="0"/>
              <w:autoSpaceDN w:val="0"/>
              <w:adjustRightInd w:val="0"/>
              <w:snapToGrid w:val="0"/>
              <w:spacing w:line="400" w:lineRule="exact"/>
              <w:rPr>
                <w:rFonts w:hint="eastAsia" w:ascii="宋体" w:hAnsi="宋体" w:cs="Arial"/>
                <w:b/>
                <w:sz w:val="24"/>
                <w:szCs w:val="24"/>
                <w:highlight w:val="none"/>
              </w:rPr>
            </w:pPr>
            <w:r>
              <w:rPr>
                <w:rFonts w:hint="eastAsia" w:ascii="宋体" w:hAnsi="宋体" w:cs="宋体"/>
                <w:sz w:val="24"/>
                <w:szCs w:val="24"/>
                <w:highlight w:val="none"/>
              </w:rPr>
              <w:t>2、响应单位应将响应文件装袋密封，封袋上应写明项目名称、响应单位名称，并加盖响应人公章。</w:t>
            </w:r>
          </w:p>
        </w:tc>
      </w:tr>
      <w:tr w14:paraId="08D257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20" w:type="dxa"/>
            <w:vAlign w:val="center"/>
          </w:tcPr>
          <w:p w14:paraId="2FFF1BE5">
            <w:pPr>
              <w:spacing w:line="400" w:lineRule="exact"/>
              <w:jc w:val="center"/>
              <w:rPr>
                <w:highlight w:val="none"/>
              </w:rPr>
            </w:pPr>
            <w:r>
              <w:rPr>
                <w:rFonts w:hint="eastAsia"/>
                <w:highlight w:val="none"/>
              </w:rPr>
              <w:t>15</w:t>
            </w:r>
          </w:p>
        </w:tc>
        <w:tc>
          <w:tcPr>
            <w:tcW w:w="2265" w:type="dxa"/>
            <w:vAlign w:val="center"/>
          </w:tcPr>
          <w:p w14:paraId="68DDEFFD">
            <w:pPr>
              <w:spacing w:line="400" w:lineRule="exact"/>
              <w:jc w:val="left"/>
              <w:rPr>
                <w:rFonts w:hint="eastAsia" w:ascii="宋体" w:hAnsi="宋体" w:cs="Arial"/>
                <w:bCs/>
                <w:sz w:val="24"/>
                <w:szCs w:val="24"/>
                <w:highlight w:val="none"/>
              </w:rPr>
            </w:pPr>
            <w:r>
              <w:rPr>
                <w:rFonts w:hint="eastAsia" w:ascii="宋体" w:hAnsi="宋体" w:cs="Arial"/>
                <w:bCs/>
                <w:sz w:val="24"/>
                <w:szCs w:val="24"/>
                <w:highlight w:val="none"/>
              </w:rPr>
              <w:t>逾期送达情形</w:t>
            </w:r>
          </w:p>
        </w:tc>
        <w:tc>
          <w:tcPr>
            <w:tcW w:w="5307" w:type="dxa"/>
            <w:vAlign w:val="center"/>
          </w:tcPr>
          <w:p w14:paraId="254CA7E9">
            <w:pPr>
              <w:autoSpaceDE w:val="0"/>
              <w:autoSpaceDN w:val="0"/>
              <w:adjustRightInd w:val="0"/>
              <w:snapToGrid w:val="0"/>
              <w:spacing w:line="400" w:lineRule="exact"/>
              <w:rPr>
                <w:rFonts w:hint="eastAsia" w:ascii="宋体" w:hAnsi="宋体" w:cs="Arial"/>
                <w:sz w:val="24"/>
                <w:szCs w:val="24"/>
                <w:highlight w:val="none"/>
              </w:rPr>
            </w:pPr>
            <w:r>
              <w:rPr>
                <w:sz w:val="24"/>
                <w:szCs w:val="24"/>
                <w:highlight w:val="none"/>
              </w:rPr>
              <w:t>未在</w:t>
            </w:r>
            <w:r>
              <w:rPr>
                <w:rFonts w:hint="eastAsia"/>
                <w:sz w:val="24"/>
                <w:szCs w:val="24"/>
                <w:highlight w:val="none"/>
              </w:rPr>
              <w:t>磋商</w:t>
            </w:r>
            <w:r>
              <w:rPr>
                <w:sz w:val="24"/>
                <w:szCs w:val="24"/>
                <w:highlight w:val="none"/>
              </w:rPr>
              <w:t>截止时间前签到并递交响应文件，视为放弃</w:t>
            </w:r>
            <w:r>
              <w:rPr>
                <w:rFonts w:hint="eastAsia"/>
                <w:sz w:val="24"/>
                <w:szCs w:val="24"/>
                <w:highlight w:val="none"/>
              </w:rPr>
              <w:t>响应</w:t>
            </w:r>
            <w:r>
              <w:rPr>
                <w:sz w:val="24"/>
                <w:szCs w:val="24"/>
                <w:highlight w:val="none"/>
              </w:rPr>
              <w:t>。</w:t>
            </w:r>
          </w:p>
        </w:tc>
      </w:tr>
      <w:tr w14:paraId="7619A4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20" w:type="dxa"/>
            <w:vAlign w:val="center"/>
          </w:tcPr>
          <w:p w14:paraId="087F6297">
            <w:pPr>
              <w:spacing w:line="400" w:lineRule="exact"/>
              <w:jc w:val="center"/>
              <w:rPr>
                <w:highlight w:val="none"/>
              </w:rPr>
            </w:pPr>
            <w:r>
              <w:rPr>
                <w:rFonts w:hint="eastAsia"/>
                <w:highlight w:val="none"/>
              </w:rPr>
              <w:t>16</w:t>
            </w:r>
          </w:p>
        </w:tc>
        <w:tc>
          <w:tcPr>
            <w:tcW w:w="2265" w:type="dxa"/>
            <w:vAlign w:val="center"/>
          </w:tcPr>
          <w:p w14:paraId="19F5EBC9">
            <w:pPr>
              <w:spacing w:line="400" w:lineRule="exact"/>
              <w:jc w:val="left"/>
              <w:rPr>
                <w:rFonts w:hint="eastAsia" w:ascii="宋体" w:hAnsi="宋体" w:cs="Arial"/>
                <w:bCs/>
                <w:sz w:val="24"/>
                <w:szCs w:val="24"/>
                <w:highlight w:val="none"/>
              </w:rPr>
            </w:pPr>
            <w:r>
              <w:rPr>
                <w:rFonts w:hint="eastAsia" w:ascii="宋体" w:hAnsi="宋体" w:cs="Arial"/>
                <w:bCs/>
                <w:sz w:val="24"/>
                <w:szCs w:val="24"/>
                <w:highlight w:val="none"/>
              </w:rPr>
              <w:t>盖章要求</w:t>
            </w:r>
          </w:p>
        </w:tc>
        <w:tc>
          <w:tcPr>
            <w:tcW w:w="5307" w:type="dxa"/>
            <w:vAlign w:val="center"/>
          </w:tcPr>
          <w:p w14:paraId="0A6348F4">
            <w:pPr>
              <w:spacing w:line="400" w:lineRule="exact"/>
              <w:ind w:right="-4" w:rightChars="-2"/>
              <w:rPr>
                <w:rFonts w:hint="eastAsia" w:ascii="宋体" w:hAnsi="宋体" w:cs="Arial"/>
                <w:sz w:val="24"/>
                <w:szCs w:val="24"/>
                <w:highlight w:val="none"/>
              </w:rPr>
            </w:pPr>
            <w:r>
              <w:rPr>
                <w:rFonts w:hint="eastAsia" w:ascii="宋体" w:hAnsi="宋体" w:cs="Arial"/>
                <w:sz w:val="24"/>
                <w:szCs w:val="24"/>
                <w:highlight w:val="none"/>
              </w:rPr>
              <w:t>1、磋商文件中要求签字或盖章的，应按文件要求签字或盖章。</w:t>
            </w:r>
          </w:p>
          <w:p w14:paraId="1DF25E55">
            <w:pPr>
              <w:autoSpaceDE w:val="0"/>
              <w:autoSpaceDN w:val="0"/>
              <w:adjustRightInd w:val="0"/>
              <w:snapToGrid w:val="0"/>
              <w:spacing w:line="400" w:lineRule="exact"/>
              <w:rPr>
                <w:rFonts w:hint="eastAsia" w:ascii="宋体" w:hAnsi="宋体" w:cs="Arial"/>
                <w:sz w:val="24"/>
                <w:szCs w:val="24"/>
                <w:highlight w:val="none"/>
              </w:rPr>
            </w:pPr>
            <w:r>
              <w:rPr>
                <w:rFonts w:hint="eastAsia" w:ascii="宋体" w:hAnsi="宋体" w:cs="Arial"/>
                <w:sz w:val="24"/>
                <w:szCs w:val="24"/>
                <w:highlight w:val="none"/>
              </w:rPr>
              <w:t>2、磋商文件中要求加盖供应商公章的，应加盖供应商公章。</w:t>
            </w:r>
          </w:p>
        </w:tc>
      </w:tr>
      <w:tr w14:paraId="1D5A67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0" w:type="dxa"/>
            <w:vAlign w:val="center"/>
          </w:tcPr>
          <w:p w14:paraId="50C37A8C">
            <w:pPr>
              <w:spacing w:line="400" w:lineRule="exact"/>
              <w:jc w:val="center"/>
              <w:rPr>
                <w:highlight w:val="none"/>
              </w:rPr>
            </w:pPr>
            <w:r>
              <w:rPr>
                <w:rFonts w:hint="eastAsia"/>
                <w:highlight w:val="none"/>
              </w:rPr>
              <w:t>17</w:t>
            </w:r>
          </w:p>
        </w:tc>
        <w:tc>
          <w:tcPr>
            <w:tcW w:w="2265" w:type="dxa"/>
            <w:vAlign w:val="center"/>
          </w:tcPr>
          <w:p w14:paraId="764122F3">
            <w:pPr>
              <w:autoSpaceDE w:val="0"/>
              <w:autoSpaceDN w:val="0"/>
              <w:adjustRightInd w:val="0"/>
              <w:snapToGrid w:val="0"/>
              <w:spacing w:line="400" w:lineRule="exact"/>
              <w:jc w:val="left"/>
              <w:rPr>
                <w:rFonts w:hint="eastAsia" w:ascii="宋体" w:hAnsi="宋体"/>
                <w:bCs/>
                <w:sz w:val="24"/>
                <w:szCs w:val="24"/>
                <w:highlight w:val="none"/>
              </w:rPr>
            </w:pPr>
            <w:r>
              <w:rPr>
                <w:rFonts w:hint="eastAsia" w:ascii="宋体" w:hAnsi="宋体"/>
                <w:bCs/>
                <w:sz w:val="24"/>
                <w:szCs w:val="24"/>
                <w:highlight w:val="none"/>
              </w:rPr>
              <w:t>响应报价的特殊要求</w:t>
            </w:r>
          </w:p>
        </w:tc>
        <w:tc>
          <w:tcPr>
            <w:tcW w:w="5307" w:type="dxa"/>
            <w:vAlign w:val="center"/>
          </w:tcPr>
          <w:p w14:paraId="3BE6B92B">
            <w:pPr>
              <w:spacing w:line="400" w:lineRule="exact"/>
              <w:rPr>
                <w:rFonts w:hint="eastAsia" w:ascii="宋体" w:hAnsi="宋体" w:cs="宋体"/>
                <w:b/>
                <w:bCs/>
                <w:sz w:val="24"/>
                <w:szCs w:val="24"/>
                <w:highlight w:val="none"/>
              </w:rPr>
            </w:pPr>
            <w:r>
              <w:rPr>
                <w:rFonts w:hint="eastAsia" w:ascii="宋体" w:hAnsi="宋体"/>
                <w:bCs/>
                <w:kern w:val="0"/>
                <w:sz w:val="24"/>
                <w:szCs w:val="24"/>
                <w:highlight w:val="none"/>
              </w:rPr>
              <w:t>响应报价</w:t>
            </w:r>
            <w:r>
              <w:rPr>
                <w:rFonts w:hint="eastAsia" w:ascii="宋体" w:hAnsi="宋体" w:cs="Arial"/>
                <w:sz w:val="24"/>
                <w:szCs w:val="24"/>
                <w:highlight w:val="none"/>
              </w:rPr>
              <w:t>包含但不限于</w:t>
            </w:r>
            <w:r>
              <w:rPr>
                <w:rFonts w:hint="eastAsia" w:ascii="宋体" w:hAnsi="宋体"/>
                <w:bCs/>
                <w:kern w:val="0"/>
                <w:sz w:val="24"/>
                <w:szCs w:val="24"/>
                <w:highlight w:val="none"/>
              </w:rPr>
              <w:t>验收、检测、</w:t>
            </w:r>
            <w:r>
              <w:rPr>
                <w:rFonts w:hint="eastAsia" w:ascii="宋体" w:hAnsi="宋体" w:cs="Arial"/>
                <w:sz w:val="24"/>
                <w:szCs w:val="24"/>
                <w:highlight w:val="none"/>
              </w:rPr>
              <w:t>运输费、保险费、加工费、风险、卸车费、损耗、利润、税金等其他各种费用。</w:t>
            </w:r>
            <w:r>
              <w:rPr>
                <w:rFonts w:hint="eastAsia" w:ascii="宋体" w:hAnsi="宋体"/>
                <w:bCs/>
                <w:kern w:val="0"/>
                <w:sz w:val="24"/>
                <w:szCs w:val="24"/>
                <w:highlight w:val="none"/>
              </w:rPr>
              <w:t xml:space="preserve"> </w:t>
            </w:r>
          </w:p>
        </w:tc>
      </w:tr>
      <w:tr w14:paraId="5C92B8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30502AF6">
            <w:pPr>
              <w:autoSpaceDE w:val="0"/>
              <w:autoSpaceDN w:val="0"/>
              <w:adjustRightInd w:val="0"/>
              <w:snapToGrid w:val="0"/>
              <w:spacing w:line="400" w:lineRule="exact"/>
              <w:jc w:val="center"/>
              <w:rPr>
                <w:rFonts w:hint="eastAsia" w:ascii="宋体" w:hAnsi="宋体"/>
                <w:bCs/>
                <w:sz w:val="24"/>
                <w:szCs w:val="24"/>
                <w:highlight w:val="none"/>
              </w:rPr>
            </w:pPr>
            <w:r>
              <w:rPr>
                <w:rFonts w:hint="eastAsia"/>
                <w:highlight w:val="none"/>
              </w:rPr>
              <w:t>18</w:t>
            </w:r>
          </w:p>
        </w:tc>
        <w:tc>
          <w:tcPr>
            <w:tcW w:w="2265" w:type="dxa"/>
            <w:vAlign w:val="center"/>
          </w:tcPr>
          <w:p w14:paraId="0E8CDB63">
            <w:pPr>
              <w:autoSpaceDE w:val="0"/>
              <w:autoSpaceDN w:val="0"/>
              <w:adjustRightInd w:val="0"/>
              <w:snapToGrid w:val="0"/>
              <w:spacing w:line="400" w:lineRule="exact"/>
              <w:jc w:val="left"/>
              <w:rPr>
                <w:rFonts w:hint="eastAsia" w:ascii="宋体" w:hAnsi="宋体"/>
                <w:bCs/>
                <w:sz w:val="24"/>
                <w:szCs w:val="24"/>
                <w:highlight w:val="none"/>
              </w:rPr>
            </w:pPr>
            <w:r>
              <w:rPr>
                <w:rFonts w:hint="eastAsia" w:ascii="宋体" w:hAnsi="宋体"/>
                <w:bCs/>
                <w:sz w:val="24"/>
                <w:szCs w:val="24"/>
                <w:highlight w:val="none"/>
              </w:rPr>
              <w:t>最终报价</w:t>
            </w:r>
          </w:p>
        </w:tc>
        <w:tc>
          <w:tcPr>
            <w:tcW w:w="5307" w:type="dxa"/>
            <w:vAlign w:val="center"/>
          </w:tcPr>
          <w:p w14:paraId="4CC92B66">
            <w:pPr>
              <w:autoSpaceDE w:val="0"/>
              <w:autoSpaceDN w:val="0"/>
              <w:adjustRightInd w:val="0"/>
              <w:snapToGrid w:val="0"/>
              <w:spacing w:line="400" w:lineRule="exact"/>
              <w:jc w:val="left"/>
              <w:rPr>
                <w:rFonts w:hint="eastAsia" w:ascii="宋体" w:hAnsi="宋体"/>
                <w:bCs/>
                <w:sz w:val="24"/>
                <w:szCs w:val="24"/>
                <w:highlight w:val="none"/>
              </w:rPr>
            </w:pPr>
            <w:r>
              <w:rPr>
                <w:rFonts w:hint="eastAsia" w:ascii="宋体" w:hAnsi="宋体"/>
                <w:bCs/>
                <w:sz w:val="24"/>
                <w:szCs w:val="24"/>
                <w:highlight w:val="none"/>
              </w:rPr>
              <w:t xml:space="preserve">本项目无二轮报价。 </w:t>
            </w:r>
          </w:p>
        </w:tc>
      </w:tr>
      <w:tr w14:paraId="34F7F3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20" w:type="dxa"/>
            <w:vAlign w:val="center"/>
          </w:tcPr>
          <w:p w14:paraId="03A9D0F0">
            <w:pPr>
              <w:spacing w:line="400" w:lineRule="exact"/>
              <w:jc w:val="center"/>
              <w:rPr>
                <w:highlight w:val="none"/>
              </w:rPr>
            </w:pPr>
            <w:r>
              <w:rPr>
                <w:rFonts w:hint="eastAsia"/>
                <w:highlight w:val="none"/>
              </w:rPr>
              <w:t>19</w:t>
            </w:r>
          </w:p>
        </w:tc>
        <w:tc>
          <w:tcPr>
            <w:tcW w:w="2265" w:type="dxa"/>
            <w:vAlign w:val="center"/>
          </w:tcPr>
          <w:p w14:paraId="24C1411C">
            <w:pPr>
              <w:autoSpaceDE w:val="0"/>
              <w:autoSpaceDN w:val="0"/>
              <w:adjustRightInd w:val="0"/>
              <w:snapToGrid w:val="0"/>
              <w:spacing w:line="400" w:lineRule="exact"/>
              <w:jc w:val="left"/>
              <w:rPr>
                <w:rFonts w:hint="eastAsia" w:ascii="宋体" w:hAnsi="宋体" w:cs="Arial"/>
                <w:sz w:val="24"/>
                <w:szCs w:val="24"/>
                <w:highlight w:val="none"/>
              </w:rPr>
            </w:pPr>
            <w:r>
              <w:rPr>
                <w:rFonts w:hint="eastAsia" w:ascii="宋体" w:hAnsi="宋体" w:cs="宋体"/>
                <w:color w:val="000000"/>
                <w:kern w:val="0"/>
                <w:sz w:val="24"/>
                <w:szCs w:val="24"/>
                <w:highlight w:val="none"/>
              </w:rPr>
              <w:t>不良信用记录查询渠道</w:t>
            </w:r>
          </w:p>
        </w:tc>
        <w:tc>
          <w:tcPr>
            <w:tcW w:w="5307" w:type="dxa"/>
            <w:vAlign w:val="center"/>
          </w:tcPr>
          <w:p w14:paraId="24EB924F">
            <w:pPr>
              <w:autoSpaceDE w:val="0"/>
              <w:autoSpaceDN w:val="0"/>
              <w:adjustRightInd w:val="0"/>
              <w:snapToGrid w:val="0"/>
              <w:spacing w:line="400" w:lineRule="exac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1、不良信用记录查询渠道如下（仅以下述渠道查询结果为准）：</w:t>
            </w:r>
          </w:p>
          <w:p w14:paraId="7C58B0F2">
            <w:pPr>
              <w:autoSpaceDE w:val="0"/>
              <w:autoSpaceDN w:val="0"/>
              <w:adjustRightInd w:val="0"/>
              <w:snapToGrid w:val="0"/>
              <w:spacing w:line="400" w:lineRule="exact"/>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（1）供应商被人民法院列入失信被执行人的；</w:t>
            </w:r>
          </w:p>
          <w:p w14:paraId="7189225B">
            <w:pPr>
              <w:autoSpaceDE w:val="0"/>
              <w:autoSpaceDN w:val="0"/>
              <w:adjustRightInd w:val="0"/>
              <w:snapToGrid w:val="0"/>
              <w:spacing w:line="400" w:lineRule="exact"/>
              <w:rPr>
                <w:rFonts w:hint="eastAsia" w:ascii="宋体" w:hAnsi="宋体" w:cs="Arial"/>
                <w:sz w:val="24"/>
                <w:szCs w:val="24"/>
                <w:highlight w:val="none"/>
              </w:rPr>
            </w:pPr>
            <w:r>
              <w:rPr>
                <w:rFonts w:hint="eastAsia" w:ascii="宋体" w:hAnsi="宋体" w:cs="宋体"/>
                <w:color w:val="000000"/>
                <w:kern w:val="0"/>
                <w:sz w:val="24"/>
                <w:szCs w:val="24"/>
                <w:highlight w:val="none"/>
              </w:rPr>
              <w:t>（2）供应商被税务部门列入重大税收违法案件当事人名单的；以上情形第（1）（2）以信用中国官网（</w:t>
            </w:r>
            <w:r>
              <w:rPr>
                <w:rFonts w:hint="eastAsia"/>
                <w:highlight w:val="none"/>
              </w:rPr>
              <w:fldChar w:fldCharType="begin"/>
            </w:r>
            <w:r>
              <w:rPr>
                <w:highlight w:val="none"/>
              </w:rPr>
              <w:instrText xml:space="preserve"> HYPERLINK "http://www.creditchina.gov.cn" </w:instrText>
            </w:r>
            <w:r>
              <w:rPr>
                <w:rFonts w:hint="eastAsia"/>
                <w:highlight w:val="none"/>
              </w:rPr>
              <w:fldChar w:fldCharType="separate"/>
            </w:r>
            <w:r>
              <w:rPr>
                <w:rFonts w:hint="eastAsia" w:ascii="宋体" w:hAnsi="宋体" w:cs="宋体"/>
                <w:color w:val="000000"/>
                <w:kern w:val="0"/>
                <w:sz w:val="24"/>
                <w:szCs w:val="24"/>
                <w:highlight w:val="none"/>
              </w:rPr>
              <w:t>www.creditchina.gov.cn</w:t>
            </w:r>
            <w:r>
              <w:rPr>
                <w:rFonts w:hint="eastAsia" w:ascii="宋体" w:hAnsi="宋体" w:cs="宋体"/>
                <w:color w:val="000000"/>
                <w:kern w:val="0"/>
                <w:sz w:val="24"/>
                <w:szCs w:val="24"/>
                <w:highlight w:val="none"/>
              </w:rPr>
              <w:fldChar w:fldCharType="end"/>
            </w:r>
            <w:r>
              <w:rPr>
                <w:rFonts w:hint="eastAsia" w:ascii="宋体" w:hAnsi="宋体" w:cs="宋体"/>
                <w:color w:val="000000"/>
                <w:kern w:val="0"/>
                <w:sz w:val="24"/>
                <w:szCs w:val="24"/>
                <w:highlight w:val="none"/>
              </w:rPr>
              <w:t>）或其他指定媒介[国家税务总局网站（www.chinatax.gov.cn）、国家企业信用信息公示系统（www.gsxt.gov.cn）发布的为准。供应商在编制响应文件时自行查询，符合要求的按磋商文件中格式提供《供应商声明函》；</w:t>
            </w:r>
          </w:p>
        </w:tc>
      </w:tr>
      <w:tr w14:paraId="5D5EF7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720" w:type="dxa"/>
            <w:vAlign w:val="center"/>
          </w:tcPr>
          <w:p w14:paraId="27405629">
            <w:pPr>
              <w:spacing w:line="400" w:lineRule="exact"/>
              <w:jc w:val="center"/>
              <w:rPr>
                <w:highlight w:val="none"/>
              </w:rPr>
            </w:pPr>
            <w:r>
              <w:rPr>
                <w:rFonts w:hint="eastAsia"/>
                <w:highlight w:val="none"/>
              </w:rPr>
              <w:t>20</w:t>
            </w:r>
          </w:p>
        </w:tc>
        <w:tc>
          <w:tcPr>
            <w:tcW w:w="2265" w:type="dxa"/>
            <w:vAlign w:val="center"/>
          </w:tcPr>
          <w:p w14:paraId="6A3623C8">
            <w:pPr>
              <w:spacing w:line="400" w:lineRule="exact"/>
              <w:jc w:val="left"/>
              <w:rPr>
                <w:rFonts w:hint="eastAsia" w:ascii="宋体" w:hAnsi="宋体" w:cs="宋体"/>
                <w:color w:val="000000"/>
                <w:kern w:val="0"/>
                <w:sz w:val="24"/>
                <w:szCs w:val="24"/>
                <w:highlight w:val="none"/>
              </w:rPr>
            </w:pPr>
            <w:r>
              <w:rPr>
                <w:rFonts w:hint="eastAsia" w:ascii="宋体" w:hAnsi="宋体" w:cs="宋体"/>
                <w:kern w:val="0"/>
                <w:sz w:val="24"/>
                <w:szCs w:val="24"/>
                <w:highlight w:val="none"/>
              </w:rPr>
              <w:t>代理费用的收取标准和方式</w:t>
            </w:r>
          </w:p>
        </w:tc>
        <w:tc>
          <w:tcPr>
            <w:tcW w:w="5307" w:type="dxa"/>
            <w:vAlign w:val="center"/>
          </w:tcPr>
          <w:p w14:paraId="3A079509">
            <w:pPr>
              <w:spacing w:line="400" w:lineRule="exact"/>
              <w:rPr>
                <w:rFonts w:hint="eastAsia" w:ascii="宋体" w:hAnsi="宋体" w:cs="宋体"/>
                <w:kern w:val="0"/>
                <w:sz w:val="24"/>
                <w:szCs w:val="24"/>
                <w:highlight w:val="none"/>
              </w:rPr>
            </w:pPr>
            <w:r>
              <w:rPr>
                <w:rFonts w:hint="eastAsia" w:ascii="宋体" w:hAnsi="宋体" w:cs="宋体"/>
                <w:kern w:val="0"/>
                <w:sz w:val="24"/>
                <w:szCs w:val="24"/>
                <w:highlight w:val="none"/>
              </w:rPr>
              <w:t>代理服务费：</w:t>
            </w:r>
            <w:r>
              <w:rPr>
                <w:rFonts w:hint="eastAsia" w:ascii="宋体" w:hAnsi="宋体" w:cs="宋体"/>
                <w:kern w:val="0"/>
                <w:sz w:val="24"/>
                <w:szCs w:val="24"/>
                <w:highlight w:val="none"/>
                <w:lang w:val="en-US" w:eastAsia="zh-CN"/>
              </w:rPr>
              <w:t>8900</w:t>
            </w:r>
            <w:r>
              <w:rPr>
                <w:rFonts w:hint="eastAsia" w:ascii="宋体" w:hAnsi="宋体" w:cs="宋体"/>
                <w:kern w:val="0"/>
                <w:sz w:val="24"/>
                <w:szCs w:val="24"/>
                <w:highlight w:val="none"/>
              </w:rPr>
              <w:t>元；</w:t>
            </w:r>
          </w:p>
          <w:p w14:paraId="4FED4AE4">
            <w:pPr>
              <w:widowControl/>
              <w:wordWrap w:val="0"/>
              <w:topLinePunct/>
              <w:spacing w:line="400" w:lineRule="exact"/>
              <w:rPr>
                <w:b/>
                <w:kern w:val="0"/>
                <w:sz w:val="23"/>
                <w:szCs w:val="23"/>
                <w:highlight w:val="none"/>
              </w:rPr>
            </w:pPr>
            <w:r>
              <w:rPr>
                <w:rFonts w:hint="eastAsia" w:ascii="宋体" w:hAnsi="宋体" w:cs="宋体"/>
                <w:kern w:val="0"/>
                <w:sz w:val="24"/>
                <w:szCs w:val="24"/>
                <w:highlight w:val="none"/>
              </w:rPr>
              <w:t>注：代理服务费由成交人承担，成交人自行考虑到响应报价中（但不单列项目报价），在领取成交通知书之前缴纳至代理机构处。</w:t>
            </w:r>
          </w:p>
        </w:tc>
      </w:tr>
      <w:tr w14:paraId="23BD3D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vAlign w:val="center"/>
          </w:tcPr>
          <w:p w14:paraId="1F53624F">
            <w:pPr>
              <w:spacing w:line="400" w:lineRule="exact"/>
              <w:jc w:val="center"/>
              <w:rPr>
                <w:highlight w:val="none"/>
              </w:rPr>
            </w:pPr>
            <w:r>
              <w:rPr>
                <w:rFonts w:hint="eastAsia"/>
                <w:highlight w:val="none"/>
              </w:rPr>
              <w:t>21</w:t>
            </w:r>
          </w:p>
        </w:tc>
        <w:tc>
          <w:tcPr>
            <w:tcW w:w="2265" w:type="dxa"/>
            <w:vAlign w:val="center"/>
          </w:tcPr>
          <w:p w14:paraId="5CEF3735">
            <w:pPr>
              <w:spacing w:line="400" w:lineRule="exact"/>
              <w:jc w:val="left"/>
              <w:rPr>
                <w:rFonts w:hint="eastAsia" w:ascii="宋体" w:hAnsi="宋体" w:cs="宋体"/>
                <w:color w:val="000000"/>
                <w:kern w:val="0"/>
                <w:sz w:val="24"/>
                <w:szCs w:val="24"/>
                <w:highlight w:val="none"/>
              </w:rPr>
            </w:pPr>
            <w:r>
              <w:rPr>
                <w:rFonts w:hint="eastAsia" w:ascii="宋体" w:hAnsi="宋体" w:cs="Arial"/>
                <w:sz w:val="24"/>
                <w:szCs w:val="24"/>
                <w:highlight w:val="none"/>
              </w:rPr>
              <w:t>付款方式：</w:t>
            </w:r>
          </w:p>
        </w:tc>
        <w:tc>
          <w:tcPr>
            <w:tcW w:w="5307" w:type="dxa"/>
            <w:vAlign w:val="center"/>
          </w:tcPr>
          <w:p w14:paraId="6025C32B">
            <w:pPr>
              <w:widowControl/>
              <w:wordWrap w:val="0"/>
              <w:topLinePunct/>
              <w:spacing w:line="400" w:lineRule="exact"/>
              <w:rPr>
                <w:rFonts w:hint="eastAsia" w:ascii="宋体" w:hAnsi="宋体" w:cs="宋体"/>
                <w:color w:val="000000"/>
                <w:kern w:val="0"/>
                <w:sz w:val="24"/>
                <w:szCs w:val="24"/>
                <w:highlight w:val="none"/>
              </w:rPr>
            </w:pPr>
            <w:r>
              <w:rPr>
                <w:rFonts w:hint="eastAsia" w:ascii="宋体" w:hAnsi="宋体" w:cs="宋体"/>
                <w:kern w:val="0"/>
                <w:sz w:val="24"/>
                <w:szCs w:val="24"/>
                <w:highlight w:val="none"/>
              </w:rPr>
              <w:t>详见采购需求。</w:t>
            </w:r>
          </w:p>
        </w:tc>
      </w:tr>
      <w:tr w14:paraId="5289C7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vAlign w:val="center"/>
          </w:tcPr>
          <w:p w14:paraId="2DEAABFC">
            <w:pPr>
              <w:spacing w:line="400" w:lineRule="exact"/>
              <w:jc w:val="center"/>
              <w:rPr>
                <w:highlight w:val="none"/>
              </w:rPr>
            </w:pPr>
            <w:r>
              <w:rPr>
                <w:rFonts w:hint="eastAsia" w:ascii="宋体" w:hAnsi="宋体" w:cs="Arial"/>
                <w:sz w:val="24"/>
                <w:szCs w:val="24"/>
                <w:highlight w:val="none"/>
              </w:rPr>
              <w:t>22</w:t>
            </w:r>
          </w:p>
        </w:tc>
        <w:tc>
          <w:tcPr>
            <w:tcW w:w="2265" w:type="dxa"/>
            <w:vAlign w:val="center"/>
          </w:tcPr>
          <w:p w14:paraId="1ED4A22A">
            <w:pPr>
              <w:spacing w:line="400" w:lineRule="exact"/>
              <w:rPr>
                <w:rFonts w:hint="eastAsia" w:ascii="宋体" w:hAnsi="宋体" w:cs="Arial"/>
                <w:sz w:val="24"/>
                <w:szCs w:val="24"/>
                <w:highlight w:val="none"/>
              </w:rPr>
            </w:pPr>
            <w:r>
              <w:rPr>
                <w:rFonts w:hint="eastAsia" w:ascii="宋体" w:hAnsi="宋体"/>
                <w:sz w:val="24"/>
                <w:szCs w:val="24"/>
                <w:highlight w:val="none"/>
              </w:rPr>
              <w:t>质询、磋商</w:t>
            </w:r>
          </w:p>
        </w:tc>
        <w:tc>
          <w:tcPr>
            <w:tcW w:w="5307" w:type="dxa"/>
            <w:vAlign w:val="center"/>
          </w:tcPr>
          <w:p w14:paraId="5E5DE0E6">
            <w:pPr>
              <w:spacing w:line="400" w:lineRule="exact"/>
              <w:ind w:right="-4" w:rightChars="-2"/>
              <w:rPr>
                <w:rFonts w:hint="eastAsia" w:ascii="宋体" w:hAnsi="宋体" w:cs="Arial"/>
                <w:color w:val="FF0000"/>
                <w:sz w:val="24"/>
                <w:szCs w:val="24"/>
                <w:highlight w:val="none"/>
              </w:rPr>
            </w:pPr>
            <w:r>
              <w:rPr>
                <w:rFonts w:hint="eastAsia" w:ascii="宋体" w:hAnsi="宋体" w:cs="Arial"/>
                <w:sz w:val="24"/>
                <w:szCs w:val="24"/>
                <w:highlight w:val="none"/>
              </w:rPr>
              <w:t>各供应商在项目评审期间应保持在线状态，随时接受评审委员会发出的询标信息，请各供应商保持签到的手机畅通，在评审委员会发出的询标信息后将电话联系各供应商，供应商请在收到询标信息后20分钟内答复，未能按规定时间答复的，评审委员会将视同其放弃，由此造成的后果由供应商自行承担。</w:t>
            </w:r>
          </w:p>
        </w:tc>
      </w:tr>
      <w:tr w14:paraId="04BA27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vAlign w:val="center"/>
          </w:tcPr>
          <w:p w14:paraId="0AC59A92">
            <w:pPr>
              <w:spacing w:line="400" w:lineRule="exact"/>
              <w:jc w:val="center"/>
              <w:rPr>
                <w:highlight w:val="none"/>
              </w:rPr>
            </w:pPr>
            <w:r>
              <w:rPr>
                <w:rFonts w:hint="eastAsia" w:ascii="宋体" w:hAnsi="宋体" w:cs="Arial"/>
                <w:sz w:val="24"/>
                <w:szCs w:val="24"/>
                <w:highlight w:val="none"/>
              </w:rPr>
              <w:t>23</w:t>
            </w:r>
          </w:p>
        </w:tc>
        <w:tc>
          <w:tcPr>
            <w:tcW w:w="2265" w:type="dxa"/>
            <w:vAlign w:val="center"/>
          </w:tcPr>
          <w:p w14:paraId="59C77D5F">
            <w:pPr>
              <w:spacing w:line="400" w:lineRule="exact"/>
              <w:rPr>
                <w:rFonts w:hint="eastAsia" w:ascii="宋体" w:hAnsi="宋体" w:cs="Arial"/>
                <w:sz w:val="24"/>
                <w:szCs w:val="24"/>
                <w:highlight w:val="none"/>
              </w:rPr>
            </w:pPr>
            <w:r>
              <w:rPr>
                <w:rFonts w:hint="eastAsia" w:ascii="宋体" w:hAnsi="宋体" w:cs="宋体"/>
                <w:sz w:val="24"/>
                <w:szCs w:val="24"/>
                <w:highlight w:val="none"/>
              </w:rPr>
              <w:t>价格评审相关事项</w:t>
            </w:r>
          </w:p>
        </w:tc>
        <w:tc>
          <w:tcPr>
            <w:tcW w:w="5307" w:type="dxa"/>
            <w:vAlign w:val="center"/>
          </w:tcPr>
          <w:p w14:paraId="55219767">
            <w:pPr>
              <w:spacing w:line="400" w:lineRule="exact"/>
              <w:rPr>
                <w:rFonts w:hint="eastAsia" w:ascii="宋体" w:hAnsi="宋体" w:cs="Arial"/>
                <w:color w:val="FF0000"/>
                <w:sz w:val="24"/>
                <w:szCs w:val="24"/>
                <w:highlight w:val="none"/>
              </w:rPr>
            </w:pPr>
            <w:r>
              <w:rPr>
                <w:rFonts w:hint="eastAsia" w:ascii="宋体" w:hAnsi="宋体" w:cs="宋体"/>
                <w:sz w:val="24"/>
                <w:szCs w:val="24"/>
                <w:highlight w:val="none"/>
              </w:rPr>
              <w:t>磋商小组认为供应商的报价明显低于其他通过资格审查供应商的价格，有可能影响服务质量或者不能诚信履约的，评审小组应当在以质询的方式要求20分钟内提供必要的相关证明材料扫描件传入代理邮箱并通知采购代理机构。供应商提供的证明材料不能证明其报价合理性的或未提供的，</w:t>
            </w:r>
            <w:r>
              <w:rPr>
                <w:rFonts w:hint="eastAsia" w:ascii="宋体" w:hAnsi="宋体" w:cs="Arial"/>
                <w:sz w:val="24"/>
                <w:szCs w:val="24"/>
                <w:highlight w:val="none"/>
              </w:rPr>
              <w:t>磋商</w:t>
            </w:r>
            <w:r>
              <w:rPr>
                <w:rFonts w:hint="eastAsia" w:ascii="宋体" w:hAnsi="宋体" w:cs="宋体"/>
                <w:sz w:val="24"/>
                <w:szCs w:val="24"/>
                <w:highlight w:val="none"/>
              </w:rPr>
              <w:t>小组应当将其作为无效响应处理。供应商可自行准备报价合理性材料，承担其未</w:t>
            </w:r>
            <w:r>
              <w:rPr>
                <w:rFonts w:hint="eastAsia" w:ascii="宋体" w:hAnsi="宋体" w:cs="宋体"/>
                <w:sz w:val="24"/>
                <w:highlight w:val="none"/>
              </w:rPr>
              <w:t>在规定时间内作出合理说明及提供相关证明材料被否决响应的后果。</w:t>
            </w:r>
          </w:p>
        </w:tc>
      </w:tr>
      <w:tr w14:paraId="784DB8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720" w:type="dxa"/>
            <w:vAlign w:val="center"/>
          </w:tcPr>
          <w:p w14:paraId="7497C370">
            <w:pPr>
              <w:spacing w:line="400" w:lineRule="exact"/>
              <w:jc w:val="center"/>
              <w:rPr>
                <w:highlight w:val="none"/>
              </w:rPr>
            </w:pPr>
            <w:r>
              <w:rPr>
                <w:rFonts w:hint="eastAsia" w:ascii="宋体" w:hAnsi="宋体" w:cs="Arial"/>
                <w:sz w:val="24"/>
                <w:szCs w:val="24"/>
                <w:highlight w:val="none"/>
              </w:rPr>
              <w:t>24</w:t>
            </w:r>
          </w:p>
        </w:tc>
        <w:tc>
          <w:tcPr>
            <w:tcW w:w="2265" w:type="dxa"/>
            <w:vAlign w:val="center"/>
          </w:tcPr>
          <w:p w14:paraId="7D319971">
            <w:pPr>
              <w:autoSpaceDE w:val="0"/>
              <w:autoSpaceDN w:val="0"/>
              <w:adjustRightInd w:val="0"/>
              <w:snapToGrid w:val="0"/>
              <w:spacing w:line="400" w:lineRule="exact"/>
              <w:jc w:val="left"/>
              <w:rPr>
                <w:rFonts w:hint="eastAsia" w:ascii="宋体" w:hAnsi="宋体" w:cs="Arial"/>
                <w:sz w:val="24"/>
                <w:szCs w:val="24"/>
                <w:highlight w:val="none"/>
              </w:rPr>
            </w:pPr>
            <w:r>
              <w:rPr>
                <w:rFonts w:hint="eastAsia" w:ascii="宋体" w:hAnsi="宋体" w:cs="Arial"/>
                <w:sz w:val="24"/>
                <w:szCs w:val="24"/>
                <w:highlight w:val="none"/>
              </w:rPr>
              <w:t>备注</w:t>
            </w:r>
          </w:p>
        </w:tc>
        <w:tc>
          <w:tcPr>
            <w:tcW w:w="5307" w:type="dxa"/>
            <w:vAlign w:val="center"/>
          </w:tcPr>
          <w:p w14:paraId="72D88AB2">
            <w:pPr>
              <w:autoSpaceDE w:val="0"/>
              <w:autoSpaceDN w:val="0"/>
              <w:adjustRightInd w:val="0"/>
              <w:snapToGrid w:val="0"/>
              <w:spacing w:line="400" w:lineRule="exact"/>
              <w:rPr>
                <w:rFonts w:hint="eastAsia" w:ascii="宋体" w:hAnsi="宋体"/>
                <w:color w:val="000000"/>
                <w:sz w:val="24"/>
                <w:highlight w:val="none"/>
              </w:rPr>
            </w:pPr>
            <w:r>
              <w:rPr>
                <w:rFonts w:hint="eastAsia" w:ascii="宋体" w:hAnsi="宋体" w:cs="宋体"/>
                <w:color w:val="000000"/>
                <w:kern w:val="0"/>
                <w:sz w:val="24"/>
                <w:szCs w:val="24"/>
                <w:highlight w:val="none"/>
              </w:rPr>
              <w:t>供应商参与应当诚信守法、公平竞争。如有以提供虚假材料（包括但不限于虚假承诺、虚假技术参数响应、虚假业绩、虚假证书、虚假检测报告等）、串通响应、隐瞒失信信息等谋取成交的行为，一经发现，将报监督管理部门严肃查处。</w:t>
            </w:r>
          </w:p>
        </w:tc>
      </w:tr>
      <w:bookmarkEnd w:id="17"/>
      <w:bookmarkEnd w:id="18"/>
      <w:bookmarkEnd w:id="19"/>
    </w:tbl>
    <w:p w14:paraId="58A1D373">
      <w:pPr>
        <w:pStyle w:val="3"/>
        <w:spacing w:before="0" w:after="0" w:line="360" w:lineRule="auto"/>
        <w:jc w:val="center"/>
        <w:rPr>
          <w:rFonts w:hint="eastAsia" w:ascii="宋体" w:hAnsi="宋体" w:eastAsia="宋体" w:cs="宋体"/>
          <w:sz w:val="28"/>
          <w:szCs w:val="28"/>
          <w:highlight w:val="none"/>
        </w:rPr>
      </w:pPr>
      <w:bookmarkStart w:id="20" w:name="_Toc341340660"/>
      <w:bookmarkStart w:id="21" w:name="_Toc304388427"/>
      <w:bookmarkStart w:id="22" w:name="_Toc355787717"/>
      <w:r>
        <w:rPr>
          <w:rFonts w:hint="eastAsia" w:ascii="宋体" w:hAnsi="宋体" w:eastAsia="宋体" w:cs="宋体"/>
          <w:b w:val="0"/>
          <w:bCs w:val="0"/>
          <w:sz w:val="28"/>
          <w:szCs w:val="28"/>
          <w:highlight w:val="none"/>
        </w:rPr>
        <w:br w:type="page"/>
      </w:r>
      <w:r>
        <w:rPr>
          <w:rStyle w:val="54"/>
          <w:rFonts w:hint="eastAsia"/>
          <w:highlight w:val="none"/>
        </w:rPr>
        <w:t>三、供应商须知</w:t>
      </w:r>
      <w:bookmarkEnd w:id="20"/>
      <w:bookmarkEnd w:id="21"/>
      <w:bookmarkEnd w:id="22"/>
    </w:p>
    <w:p w14:paraId="5339D425">
      <w:pPr>
        <w:spacing w:line="360" w:lineRule="auto"/>
        <w:jc w:val="center"/>
        <w:rPr>
          <w:rFonts w:hint="eastAsia" w:ascii="宋体" w:hAnsi="宋体" w:cs="Arial"/>
          <w:b/>
          <w:sz w:val="28"/>
          <w:szCs w:val="28"/>
          <w:highlight w:val="none"/>
        </w:rPr>
      </w:pPr>
      <w:r>
        <w:rPr>
          <w:rFonts w:ascii="宋体" w:hAnsi="宋体" w:cs="Arial"/>
          <w:b/>
          <w:sz w:val="28"/>
          <w:szCs w:val="28"/>
          <w:highlight w:val="none"/>
        </w:rPr>
        <w:t>（</w:t>
      </w:r>
      <w:r>
        <w:rPr>
          <w:rFonts w:hint="eastAsia" w:ascii="宋体" w:hAnsi="宋体" w:cs="Arial"/>
          <w:b/>
          <w:sz w:val="28"/>
          <w:szCs w:val="28"/>
          <w:highlight w:val="none"/>
        </w:rPr>
        <w:t>一）总    则</w:t>
      </w:r>
    </w:p>
    <w:p w14:paraId="6C8C6276">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1、制订及适用范围</w:t>
      </w:r>
    </w:p>
    <w:p w14:paraId="60AA2C98">
      <w:pPr>
        <w:tabs>
          <w:tab w:val="left" w:pos="720"/>
        </w:tabs>
        <w:spacing w:line="360" w:lineRule="auto"/>
        <w:ind w:left="266"/>
        <w:rPr>
          <w:rFonts w:hint="eastAsia" w:ascii="宋体" w:hAnsi="宋体" w:cs="Arial"/>
          <w:sz w:val="24"/>
          <w:szCs w:val="24"/>
          <w:highlight w:val="none"/>
        </w:rPr>
      </w:pPr>
      <w:r>
        <w:rPr>
          <w:rFonts w:hint="eastAsia" w:ascii="宋体" w:hAnsi="宋体" w:cs="Arial"/>
          <w:sz w:val="24"/>
          <w:szCs w:val="24"/>
          <w:highlight w:val="none"/>
        </w:rPr>
        <w:t>1.1本磋商采购文件</w:t>
      </w:r>
      <w:r>
        <w:rPr>
          <w:rFonts w:hint="eastAsia" w:ascii="宋体" w:hAnsi="宋体" w:cs="Arial"/>
          <w:color w:val="000000"/>
          <w:sz w:val="24"/>
          <w:szCs w:val="24"/>
          <w:highlight w:val="none"/>
        </w:rPr>
        <w:t>是参照相关法律、法规制订。</w:t>
      </w:r>
    </w:p>
    <w:p w14:paraId="7B7DBA6D">
      <w:pPr>
        <w:tabs>
          <w:tab w:val="left" w:pos="720"/>
        </w:tabs>
        <w:spacing w:line="360" w:lineRule="auto"/>
        <w:ind w:left="266"/>
        <w:rPr>
          <w:rFonts w:hint="eastAsia" w:ascii="宋体" w:hAnsi="宋体" w:cs="Arial"/>
          <w:sz w:val="24"/>
          <w:szCs w:val="24"/>
          <w:highlight w:val="none"/>
        </w:rPr>
      </w:pPr>
      <w:r>
        <w:rPr>
          <w:rFonts w:hint="eastAsia" w:ascii="宋体" w:hAnsi="宋体" w:cs="Arial"/>
          <w:sz w:val="24"/>
          <w:szCs w:val="24"/>
          <w:highlight w:val="none"/>
        </w:rPr>
        <w:t>1.2本磋商采购文件仅适用于本次磋商采购所叙述的采购项目。</w:t>
      </w:r>
    </w:p>
    <w:p w14:paraId="2165E76D">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2、定义</w:t>
      </w:r>
    </w:p>
    <w:p w14:paraId="5D6C15F1">
      <w:pPr>
        <w:spacing w:line="360" w:lineRule="auto"/>
        <w:ind w:left="239" w:leftChars="114" w:right="-4" w:rightChars="-2"/>
        <w:rPr>
          <w:rFonts w:hint="eastAsia" w:ascii="宋体" w:hAnsi="宋体" w:cs="Arial"/>
          <w:sz w:val="24"/>
          <w:szCs w:val="24"/>
          <w:highlight w:val="none"/>
        </w:rPr>
      </w:pPr>
      <w:r>
        <w:rPr>
          <w:rFonts w:hint="eastAsia" w:ascii="宋体" w:hAnsi="宋体" w:cs="Arial"/>
          <w:sz w:val="24"/>
          <w:szCs w:val="24"/>
          <w:highlight w:val="none"/>
        </w:rPr>
        <w:t>2.1服务：系指除货物和工程以外的其他采购对象，包括咨询、调研、评估、规划、设计、监理、审计、保险、租赁、印刷、维修、物业管理等。</w:t>
      </w:r>
    </w:p>
    <w:p w14:paraId="1692941F">
      <w:pPr>
        <w:spacing w:line="360" w:lineRule="auto"/>
        <w:ind w:right="-4" w:rightChars="-2" w:firstLine="240" w:firstLineChars="100"/>
        <w:rPr>
          <w:rFonts w:hint="eastAsia" w:ascii="宋体" w:hAnsi="宋体" w:cs="Arial"/>
          <w:sz w:val="24"/>
          <w:szCs w:val="24"/>
          <w:highlight w:val="none"/>
        </w:rPr>
      </w:pPr>
      <w:r>
        <w:rPr>
          <w:rFonts w:hint="eastAsia" w:ascii="宋体" w:hAnsi="宋体" w:cs="Arial"/>
          <w:sz w:val="24"/>
          <w:szCs w:val="24"/>
          <w:highlight w:val="none"/>
        </w:rPr>
        <w:t>本采购文件所要求的证书、认证、资质，均应当是有权机构颁发，且在有效期内的。</w:t>
      </w:r>
    </w:p>
    <w:p w14:paraId="10492D60">
      <w:pPr>
        <w:tabs>
          <w:tab w:val="left" w:pos="720"/>
        </w:tabs>
        <w:spacing w:line="360" w:lineRule="auto"/>
        <w:ind w:left="239" w:leftChars="114"/>
        <w:rPr>
          <w:rFonts w:hint="eastAsia" w:ascii="宋体" w:hAnsi="宋体" w:cs="Arial"/>
          <w:sz w:val="24"/>
          <w:szCs w:val="24"/>
          <w:highlight w:val="none"/>
        </w:rPr>
      </w:pPr>
      <w:r>
        <w:rPr>
          <w:rFonts w:hint="eastAsia" w:ascii="宋体" w:hAnsi="宋体" w:cs="Arial"/>
          <w:sz w:val="24"/>
          <w:szCs w:val="24"/>
          <w:highlight w:val="none"/>
        </w:rPr>
        <w:t>2.2代理机构：经批准设立的集中采购机构和按规定进行登记的其他代理机构。本次采购项目的代理机构具体为“供应商须知前附表”中规定。</w:t>
      </w:r>
    </w:p>
    <w:p w14:paraId="625E739F">
      <w:pPr>
        <w:tabs>
          <w:tab w:val="left" w:pos="720"/>
        </w:tabs>
        <w:spacing w:line="360" w:lineRule="auto"/>
        <w:ind w:left="239" w:leftChars="114"/>
        <w:rPr>
          <w:rFonts w:hint="eastAsia" w:ascii="宋体" w:hAnsi="宋体"/>
          <w:sz w:val="24"/>
          <w:highlight w:val="none"/>
        </w:rPr>
      </w:pPr>
      <w:r>
        <w:rPr>
          <w:rFonts w:hint="eastAsia" w:ascii="宋体" w:hAnsi="宋体" w:cs="Arial"/>
          <w:sz w:val="24"/>
          <w:szCs w:val="24"/>
          <w:highlight w:val="none"/>
        </w:rPr>
        <w:t>2.3采购人：</w:t>
      </w:r>
      <w:r>
        <w:rPr>
          <w:rFonts w:hint="eastAsia" w:ascii="宋体" w:hAnsi="宋体"/>
          <w:sz w:val="24"/>
          <w:highlight w:val="none"/>
        </w:rPr>
        <w:t>是指依法进行采购的国家机关、事业单位、团体组织，既本次采购项目的采购人方。</w:t>
      </w:r>
    </w:p>
    <w:p w14:paraId="5C8679FF">
      <w:pPr>
        <w:tabs>
          <w:tab w:val="left" w:pos="720"/>
        </w:tabs>
        <w:spacing w:line="360" w:lineRule="auto"/>
        <w:ind w:left="239" w:leftChars="114"/>
        <w:rPr>
          <w:rFonts w:hint="eastAsia" w:ascii="宋体" w:hAnsi="宋体" w:cs="Arial"/>
          <w:sz w:val="24"/>
          <w:szCs w:val="24"/>
          <w:highlight w:val="none"/>
        </w:rPr>
      </w:pPr>
      <w:r>
        <w:rPr>
          <w:rFonts w:hint="eastAsia" w:ascii="宋体" w:hAnsi="宋体" w:cs="Arial"/>
          <w:sz w:val="24"/>
          <w:szCs w:val="24"/>
          <w:highlight w:val="none"/>
        </w:rPr>
        <w:t>2.4供应商：是指向采购人提供货物或服务的法人、其他组织或者自然人。</w:t>
      </w:r>
    </w:p>
    <w:p w14:paraId="2E03004F">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3、合格的供应商</w:t>
      </w:r>
    </w:p>
    <w:p w14:paraId="442F93EA">
      <w:pPr>
        <w:spacing w:line="360" w:lineRule="auto"/>
        <w:ind w:right="-4" w:rightChars="-2" w:firstLine="240" w:firstLineChars="100"/>
        <w:rPr>
          <w:rFonts w:hint="eastAsia" w:ascii="宋体" w:hAnsi="宋体" w:cs="Arial"/>
          <w:sz w:val="24"/>
          <w:szCs w:val="24"/>
          <w:highlight w:val="none"/>
        </w:rPr>
      </w:pPr>
      <w:r>
        <w:rPr>
          <w:rFonts w:hint="eastAsia" w:ascii="宋体" w:hAnsi="宋体" w:cs="Arial"/>
          <w:sz w:val="24"/>
          <w:szCs w:val="24"/>
          <w:highlight w:val="none"/>
        </w:rPr>
        <w:t xml:space="preserve">3.1符合磋商公告中载明的资格要求。 </w:t>
      </w:r>
    </w:p>
    <w:p w14:paraId="704A6134">
      <w:pPr>
        <w:spacing w:line="360" w:lineRule="auto"/>
        <w:ind w:right="-4" w:rightChars="-2" w:firstLine="240" w:firstLineChars="100"/>
        <w:rPr>
          <w:rFonts w:hint="eastAsia" w:ascii="宋体" w:hAnsi="宋体" w:cs="Arial"/>
          <w:sz w:val="24"/>
          <w:szCs w:val="24"/>
          <w:highlight w:val="none"/>
        </w:rPr>
      </w:pPr>
      <w:r>
        <w:rPr>
          <w:rFonts w:hint="eastAsia" w:ascii="宋体" w:hAnsi="宋体" w:cs="Arial"/>
          <w:sz w:val="24"/>
          <w:szCs w:val="24"/>
          <w:highlight w:val="none"/>
        </w:rPr>
        <w:t>3.2符合本采购项目（或包）中的各项实质性要求。</w:t>
      </w:r>
    </w:p>
    <w:p w14:paraId="708008FD">
      <w:pPr>
        <w:tabs>
          <w:tab w:val="left" w:pos="720"/>
        </w:tabs>
        <w:spacing w:line="360" w:lineRule="auto"/>
        <w:ind w:left="239" w:leftChars="114"/>
        <w:rPr>
          <w:rFonts w:hint="eastAsia" w:ascii="宋体" w:hAnsi="宋体"/>
          <w:sz w:val="24"/>
          <w:highlight w:val="none"/>
        </w:rPr>
      </w:pPr>
      <w:r>
        <w:rPr>
          <w:rFonts w:hint="eastAsia" w:ascii="宋体" w:hAnsi="宋体"/>
          <w:sz w:val="24"/>
          <w:highlight w:val="none"/>
        </w:rPr>
        <w:t>3.3单位负责人为同一人或者存在直接控股、管理关系的不同供应商，不得参加同一合同项下的采购活动。</w:t>
      </w:r>
    </w:p>
    <w:p w14:paraId="7AE5D0E9">
      <w:pPr>
        <w:tabs>
          <w:tab w:val="left" w:pos="720"/>
        </w:tabs>
        <w:spacing w:line="360" w:lineRule="auto"/>
        <w:ind w:left="239" w:leftChars="114"/>
        <w:rPr>
          <w:rFonts w:hint="eastAsia" w:ascii="宋体" w:hAnsi="宋体"/>
          <w:sz w:val="24"/>
          <w:highlight w:val="none"/>
        </w:rPr>
      </w:pPr>
      <w:r>
        <w:rPr>
          <w:rFonts w:hint="eastAsia" w:ascii="宋体" w:hAnsi="宋体"/>
          <w:sz w:val="24"/>
          <w:highlight w:val="none"/>
        </w:rPr>
        <w:t>3.4除单一来源采购项目外，为采购项目提供整体设计、规范编制或者项目管理、监理、检测等服务的供应商，不得再参加该采购项目的其他采购活动。</w:t>
      </w:r>
    </w:p>
    <w:p w14:paraId="5D8C765A">
      <w:pPr>
        <w:tabs>
          <w:tab w:val="left" w:pos="720"/>
        </w:tabs>
        <w:spacing w:line="360" w:lineRule="auto"/>
        <w:ind w:left="239" w:leftChars="114"/>
        <w:rPr>
          <w:rFonts w:hint="eastAsia" w:ascii="宋体" w:hAnsi="宋体"/>
          <w:sz w:val="24"/>
          <w:highlight w:val="none"/>
        </w:rPr>
      </w:pPr>
      <w:r>
        <w:rPr>
          <w:rFonts w:hint="eastAsia" w:ascii="宋体" w:hAnsi="宋体"/>
          <w:sz w:val="24"/>
          <w:highlight w:val="none"/>
        </w:rPr>
        <w:t>3.5符合法律、法规的其他各项规定。</w:t>
      </w:r>
    </w:p>
    <w:p w14:paraId="70A53056">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4、现场考察</w:t>
      </w:r>
    </w:p>
    <w:p w14:paraId="0C3C44B0">
      <w:pPr>
        <w:spacing w:line="360" w:lineRule="auto"/>
        <w:ind w:left="266" w:right="-4" w:rightChars="-2"/>
        <w:rPr>
          <w:rFonts w:hint="eastAsia"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.1供应商自行决定是否对供货和服务现场及周围环境进行考察，以获取编制响应文件和签署合同所需的资料。考察现场的对象是以获取磋商文件的潜在供应商；考察现场的截止时间同磋商截止时间；如</w:t>
      </w:r>
      <w:r>
        <w:rPr>
          <w:rFonts w:hint="eastAsia" w:ascii="宋体" w:hAnsi="宋体"/>
          <w:bCs/>
          <w:sz w:val="24"/>
          <w:szCs w:val="24"/>
          <w:highlight w:val="none"/>
        </w:rPr>
        <w:t>供应商须知前附表中</w:t>
      </w:r>
      <w:r>
        <w:rPr>
          <w:rFonts w:hint="eastAsia" w:ascii="宋体" w:hAnsi="宋体"/>
          <w:sz w:val="24"/>
          <w:szCs w:val="24"/>
          <w:highlight w:val="none"/>
        </w:rPr>
        <w:t>无另行规定，其现场考察方式为自行考察。考察地点、联系人、联系方式等详见</w:t>
      </w:r>
      <w:r>
        <w:rPr>
          <w:rFonts w:hint="eastAsia" w:ascii="宋体" w:hAnsi="宋体"/>
          <w:bCs/>
          <w:sz w:val="24"/>
          <w:szCs w:val="24"/>
          <w:highlight w:val="none"/>
        </w:rPr>
        <w:t>供应商须知前附表</w:t>
      </w:r>
      <w:r>
        <w:rPr>
          <w:rFonts w:hint="eastAsia" w:ascii="宋体" w:hAnsi="宋体"/>
          <w:sz w:val="24"/>
          <w:szCs w:val="24"/>
          <w:highlight w:val="none"/>
        </w:rPr>
        <w:t>。</w:t>
      </w:r>
    </w:p>
    <w:p w14:paraId="7F23C7B6">
      <w:pPr>
        <w:spacing w:line="360" w:lineRule="auto"/>
        <w:ind w:left="266" w:right="-4" w:rightChars="-2"/>
        <w:rPr>
          <w:rFonts w:hint="eastAsia"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.2现场考察所发生的费用由供应商自行承担。供应商要求进行</w:t>
      </w:r>
      <w:r>
        <w:rPr>
          <w:rFonts w:hint="eastAsia" w:ascii="宋体" w:hAnsi="宋体" w:cs="Arial"/>
          <w:sz w:val="24"/>
          <w:szCs w:val="24"/>
          <w:highlight w:val="none"/>
        </w:rPr>
        <w:t>现场考察的，采购人应提供必要的支持</w:t>
      </w:r>
      <w:r>
        <w:rPr>
          <w:rFonts w:hint="eastAsia" w:ascii="宋体" w:hAnsi="宋体"/>
          <w:sz w:val="24"/>
          <w:szCs w:val="24"/>
          <w:highlight w:val="none"/>
        </w:rPr>
        <w:t>。未到供货和服务现场实地考察的，签订合同时和履约过程中，不得以不完全了解现场情况为由，提出任何形式的增加合同价款或索赔的要求。</w:t>
      </w:r>
    </w:p>
    <w:p w14:paraId="1AB17EAA">
      <w:pPr>
        <w:spacing w:line="360" w:lineRule="auto"/>
        <w:ind w:left="266" w:right="-4" w:rightChars="-2"/>
        <w:rPr>
          <w:rFonts w:hint="eastAsia" w:ascii="宋体" w:hAnsi="宋体" w:cs="Arial"/>
          <w:sz w:val="24"/>
          <w:szCs w:val="24"/>
          <w:highlight w:val="none"/>
        </w:rPr>
      </w:pPr>
      <w:r>
        <w:rPr>
          <w:rFonts w:ascii="宋体" w:hAnsi="宋体"/>
          <w:sz w:val="24"/>
          <w:szCs w:val="24"/>
          <w:highlight w:val="none"/>
        </w:rPr>
        <w:t>4</w:t>
      </w:r>
      <w:r>
        <w:rPr>
          <w:rFonts w:hint="eastAsia" w:ascii="宋体" w:hAnsi="宋体"/>
          <w:sz w:val="24"/>
          <w:szCs w:val="24"/>
          <w:highlight w:val="none"/>
        </w:rPr>
        <w:t>.3除有特殊要求，不再单独提供供货和服务现场环境、气候条件、公用设施等情况，供应商视为熟悉上述与履行合同有关的一切情况。</w:t>
      </w:r>
    </w:p>
    <w:p w14:paraId="265508D1">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5、供应商参与磋商活动的费用</w:t>
      </w:r>
    </w:p>
    <w:p w14:paraId="273FF13A">
      <w:pPr>
        <w:spacing w:line="360" w:lineRule="auto"/>
        <w:ind w:left="240"/>
        <w:rPr>
          <w:rFonts w:hint="eastAsia" w:ascii="宋体" w:hAnsi="宋体"/>
          <w:sz w:val="24"/>
          <w:szCs w:val="24"/>
          <w:highlight w:val="none"/>
        </w:rPr>
      </w:pPr>
      <w:r>
        <w:rPr>
          <w:rFonts w:hint="eastAsia" w:ascii="宋体" w:hAnsi="宋体"/>
          <w:sz w:val="24"/>
          <w:szCs w:val="24"/>
          <w:highlight w:val="none"/>
        </w:rPr>
        <w:t>供应商自行承担与参加磋商采购活动有关的一切费用。</w:t>
      </w:r>
    </w:p>
    <w:p w14:paraId="5B15F37E">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6、纪律</w:t>
      </w:r>
    </w:p>
    <w:p w14:paraId="742B162A">
      <w:pPr>
        <w:pStyle w:val="88"/>
        <w:spacing w:line="360" w:lineRule="auto"/>
        <w:ind w:left="239" w:leftChars="114"/>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.1供应商参与</w:t>
      </w:r>
      <w:r>
        <w:rPr>
          <w:rFonts w:hint="eastAsia" w:ascii="Times New Roman" w:cs="Times New Roman"/>
          <w:color w:val="auto"/>
          <w:highlight w:val="none"/>
        </w:rPr>
        <w:t>磋商</w:t>
      </w:r>
      <w:r>
        <w:rPr>
          <w:rFonts w:hint="eastAsia" w:ascii="Times New Roman" w:hAnsi="Times New Roman" w:cs="Times New Roman"/>
          <w:color w:val="auto"/>
          <w:highlight w:val="none"/>
        </w:rPr>
        <w:t>应遵守各相关法律、法规和规章，如出现以下情形，按相关法律、法规处理：</w:t>
      </w:r>
    </w:p>
    <w:p w14:paraId="33FE50F4">
      <w:pPr>
        <w:pStyle w:val="88"/>
        <w:spacing w:line="360" w:lineRule="auto"/>
        <w:ind w:left="239" w:leftChars="114" w:firstLine="480" w:firstLineChars="200"/>
        <w:rPr>
          <w:rFonts w:ascii="Times New Roman" w:hAnsi="Times New Roman" w:cs="Times New Roman"/>
          <w:color w:val="auto"/>
          <w:highlight w:val="none"/>
        </w:rPr>
      </w:pPr>
      <w:r>
        <w:rPr>
          <w:rFonts w:hint="eastAsia" w:ascii="Times New Roman" w:hAnsi="Times New Roman" w:cs="Times New Roman"/>
          <w:color w:val="auto"/>
          <w:highlight w:val="none"/>
        </w:rPr>
        <w:t>规定的禁止情形：a.提供虚假材料谋取中标、成交的；b.采取不正当手段诋毁、排挤其他供应商的；c.与采购人、其他供应商或者代理机构恶意串通的；d.向采购人、代理机构行贿或者提供其他不正当利益的；e.在采购采购过程中与采购人进行协商</w:t>
      </w:r>
      <w:r>
        <w:rPr>
          <w:rFonts w:hint="eastAsia" w:ascii="Times New Roman" w:cs="Times New Roman"/>
          <w:color w:val="auto"/>
          <w:highlight w:val="none"/>
        </w:rPr>
        <w:t>磋商</w:t>
      </w:r>
      <w:r>
        <w:rPr>
          <w:rFonts w:hint="eastAsia" w:ascii="Times New Roman" w:hAnsi="Times New Roman" w:cs="Times New Roman"/>
          <w:color w:val="auto"/>
          <w:highlight w:val="none"/>
        </w:rPr>
        <w:t>的；f.拒绝有关部门监督检查或者提供虚假情况的；g.向评审委员会、</w:t>
      </w:r>
      <w:r>
        <w:rPr>
          <w:rFonts w:hint="eastAsia" w:ascii="Times New Roman" w:cs="Times New Roman"/>
          <w:color w:val="auto"/>
          <w:highlight w:val="none"/>
        </w:rPr>
        <w:t>磋商</w:t>
      </w:r>
      <w:r>
        <w:rPr>
          <w:rFonts w:hint="eastAsia" w:ascii="Times New Roman" w:hAnsi="Times New Roman" w:cs="Times New Roman"/>
          <w:color w:val="auto"/>
          <w:highlight w:val="none"/>
        </w:rPr>
        <w:t>小组或者</w:t>
      </w:r>
      <w:r>
        <w:rPr>
          <w:rFonts w:hint="eastAsia" w:ascii="Times New Roman" w:cs="Times New Roman"/>
          <w:color w:val="auto"/>
          <w:highlight w:val="none"/>
        </w:rPr>
        <w:t>磋商</w:t>
      </w:r>
      <w:r>
        <w:rPr>
          <w:rFonts w:hint="eastAsia" w:ascii="Times New Roman" w:hAnsi="Times New Roman" w:cs="Times New Roman"/>
          <w:color w:val="auto"/>
          <w:highlight w:val="none"/>
        </w:rPr>
        <w:t>小组成员行贿或者提供其他不正当利益；h.中标或者成交后无正当理由拒不与采购人签订采购合同；i.未按照采购文件确定的事项签订采购合同；j.将采购合同转包；k.提供假冒伪劣产品；l.擅自变更、中止或者终止采购合同。</w:t>
      </w:r>
    </w:p>
    <w:p w14:paraId="3E7478AF">
      <w:pPr>
        <w:pStyle w:val="88"/>
        <w:spacing w:line="360" w:lineRule="auto"/>
        <w:ind w:left="239" w:leftChars="114"/>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.2规定采购人、代理机构、供应商有下列情形之一的，属于恶意串通，按规定追究法律责任：</w:t>
      </w:r>
    </w:p>
    <w:p w14:paraId="15469576">
      <w:pPr>
        <w:pStyle w:val="88"/>
        <w:spacing w:line="360" w:lineRule="auto"/>
        <w:ind w:firstLine="480" w:firstLineChars="200"/>
        <w:rPr>
          <w:rFonts w:ascii="Times New Roman" w:hAnsi="Times New Roman" w:cs="Times New Roman"/>
          <w:color w:val="auto"/>
          <w:highlight w:val="none"/>
        </w:rPr>
      </w:pPr>
      <w:r>
        <w:rPr>
          <w:rFonts w:hint="eastAsia" w:ascii="Times New Roman" w:hAnsi="Times New Roman" w:cs="Times New Roman"/>
          <w:color w:val="auto"/>
          <w:highlight w:val="none"/>
        </w:rPr>
        <w:t>a.供应商直接或者间接从采购人或者代理机构处获得其他供应商的相关情况并修改其响应文件或者响应文件；</w:t>
      </w:r>
    </w:p>
    <w:p w14:paraId="4FE09912">
      <w:pPr>
        <w:pStyle w:val="88"/>
        <w:spacing w:line="360" w:lineRule="auto"/>
        <w:ind w:left="239" w:leftChars="114" w:firstLine="240" w:firstLineChars="100"/>
        <w:rPr>
          <w:rFonts w:ascii="Times New Roman" w:hAnsi="Times New Roman" w:cs="Times New Roman"/>
          <w:color w:val="auto"/>
          <w:highlight w:val="none"/>
        </w:rPr>
      </w:pPr>
      <w:r>
        <w:rPr>
          <w:rFonts w:hint="eastAsia" w:ascii="Times New Roman" w:hAnsi="Times New Roman" w:cs="Times New Roman"/>
          <w:color w:val="auto"/>
          <w:highlight w:val="none"/>
        </w:rPr>
        <w:t>b.供应商按照采购人或者代理机构的授意撤换、修改响应文件或者响应文件；</w:t>
      </w:r>
    </w:p>
    <w:p w14:paraId="765D3322">
      <w:pPr>
        <w:pStyle w:val="88"/>
        <w:spacing w:line="360" w:lineRule="auto"/>
        <w:ind w:left="239" w:leftChars="114" w:firstLine="240" w:firstLineChars="100"/>
        <w:rPr>
          <w:rFonts w:ascii="Times New Roman" w:hAnsi="Times New Roman" w:cs="Times New Roman"/>
          <w:color w:val="auto"/>
          <w:highlight w:val="none"/>
        </w:rPr>
      </w:pPr>
      <w:r>
        <w:rPr>
          <w:rFonts w:hint="eastAsia" w:ascii="Times New Roman" w:hAnsi="Times New Roman" w:cs="Times New Roman"/>
          <w:color w:val="auto"/>
          <w:highlight w:val="none"/>
        </w:rPr>
        <w:t>c.供应商之间协商报价、技术方案等响应文件或者响应文件的实质性内容；</w:t>
      </w:r>
    </w:p>
    <w:p w14:paraId="707F9942">
      <w:pPr>
        <w:pStyle w:val="88"/>
        <w:spacing w:line="360" w:lineRule="auto"/>
        <w:ind w:left="239" w:leftChars="114" w:firstLine="240" w:firstLineChars="100"/>
        <w:rPr>
          <w:rFonts w:ascii="Times New Roman" w:hAnsi="Times New Roman" w:cs="Times New Roman"/>
          <w:color w:val="auto"/>
          <w:highlight w:val="none"/>
        </w:rPr>
      </w:pPr>
      <w:r>
        <w:rPr>
          <w:rFonts w:hint="eastAsia" w:ascii="Times New Roman" w:hAnsi="Times New Roman" w:cs="Times New Roman"/>
          <w:color w:val="auto"/>
          <w:highlight w:val="none"/>
        </w:rPr>
        <w:t>d.属于同一集团、协会、商会等组织成员的供应商按照该组织要求协同参加采购活动；</w:t>
      </w:r>
    </w:p>
    <w:p w14:paraId="6A276732">
      <w:pPr>
        <w:pStyle w:val="88"/>
        <w:spacing w:line="360" w:lineRule="auto"/>
        <w:ind w:left="239" w:leftChars="114" w:firstLine="240" w:firstLineChars="100"/>
        <w:rPr>
          <w:rFonts w:ascii="Times New Roman" w:hAnsi="Times New Roman" w:cs="Times New Roman"/>
          <w:color w:val="auto"/>
          <w:highlight w:val="none"/>
        </w:rPr>
      </w:pPr>
      <w:r>
        <w:rPr>
          <w:rFonts w:hint="eastAsia" w:ascii="Times New Roman" w:hAnsi="Times New Roman" w:cs="Times New Roman"/>
          <w:color w:val="auto"/>
          <w:highlight w:val="none"/>
        </w:rPr>
        <w:t>e.供应商之间事先约定由某一特定供应商中标、成交；</w:t>
      </w:r>
    </w:p>
    <w:p w14:paraId="04AECA80">
      <w:pPr>
        <w:pStyle w:val="88"/>
        <w:spacing w:line="360" w:lineRule="auto"/>
        <w:ind w:left="239" w:leftChars="114" w:firstLine="240" w:firstLineChars="100"/>
        <w:rPr>
          <w:rFonts w:ascii="Times New Roman" w:hAnsi="Times New Roman" w:cs="Times New Roman"/>
          <w:color w:val="auto"/>
          <w:highlight w:val="none"/>
        </w:rPr>
      </w:pPr>
      <w:r>
        <w:rPr>
          <w:rFonts w:hint="eastAsia" w:ascii="Times New Roman" w:hAnsi="Times New Roman" w:cs="Times New Roman"/>
          <w:color w:val="auto"/>
          <w:highlight w:val="none"/>
        </w:rPr>
        <w:t>f.供应商之间商定部分供应商放弃参加采购活动或者放弃中标、成交；</w:t>
      </w:r>
    </w:p>
    <w:p w14:paraId="409B421A">
      <w:pPr>
        <w:pStyle w:val="88"/>
        <w:spacing w:line="360" w:lineRule="auto"/>
        <w:ind w:left="239" w:leftChars="114" w:firstLine="240" w:firstLineChars="100"/>
        <w:rPr>
          <w:rFonts w:ascii="Times New Roman" w:hAnsi="Times New Roman" w:cs="Times New Roman"/>
          <w:color w:val="auto"/>
          <w:highlight w:val="none"/>
        </w:rPr>
      </w:pPr>
      <w:r>
        <w:rPr>
          <w:rFonts w:hint="eastAsia" w:ascii="Times New Roman" w:hAnsi="Times New Roman" w:cs="Times New Roman"/>
          <w:color w:val="auto"/>
          <w:highlight w:val="none"/>
        </w:rPr>
        <w:t>g.供应商与采购人或者代理机构之间、供应商相互之间，为谋求特定供应商中标、成交或者排斥其他供应商的其他串通行为。</w:t>
      </w:r>
    </w:p>
    <w:p w14:paraId="1F43C2BA">
      <w:pPr>
        <w:pStyle w:val="88"/>
        <w:spacing w:line="360" w:lineRule="auto"/>
        <w:ind w:left="239" w:leftChars="114"/>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.3规定</w:t>
      </w:r>
      <w:r>
        <w:rPr>
          <w:rFonts w:hint="eastAsia" w:hAnsi="??"/>
          <w:szCs w:val="21"/>
          <w:highlight w:val="none"/>
          <w:lang w:val="zh-CN"/>
        </w:rPr>
        <w:t>在评审过程中发现供应商</w:t>
      </w:r>
      <w:r>
        <w:rPr>
          <w:rFonts w:hint="eastAsia" w:ascii="Times New Roman" w:hAnsi="Times New Roman" w:cs="Times New Roman"/>
          <w:color w:val="auto"/>
          <w:highlight w:val="none"/>
        </w:rPr>
        <w:t>有下列情形之一的，视为供应商串通，</w:t>
      </w:r>
      <w:r>
        <w:rPr>
          <w:rFonts w:hint="eastAsia"/>
          <w:highlight w:val="none"/>
        </w:rPr>
        <w:t>其响应无效</w:t>
      </w:r>
      <w:r>
        <w:rPr>
          <w:rFonts w:hint="eastAsia" w:ascii="Times New Roman" w:hAnsi="Times New Roman" w:cs="Times New Roman"/>
          <w:b/>
          <w:color w:val="auto"/>
          <w:highlight w:val="none"/>
        </w:rPr>
        <w:t>，</w:t>
      </w:r>
      <w:r>
        <w:rPr>
          <w:rFonts w:hint="eastAsia" w:ascii="Times New Roman" w:hAnsi="Times New Roman" w:cs="Times New Roman"/>
          <w:color w:val="auto"/>
          <w:highlight w:val="none"/>
        </w:rPr>
        <w:t>并由</w:t>
      </w:r>
      <w:r>
        <w:rPr>
          <w:rFonts w:hint="eastAsia" w:ascii="Times New Roman" w:cs="Times New Roman"/>
          <w:color w:val="auto"/>
          <w:highlight w:val="none"/>
        </w:rPr>
        <w:t>磋商</w:t>
      </w:r>
      <w:r>
        <w:rPr>
          <w:rFonts w:hint="eastAsia" w:ascii="Times New Roman" w:hAnsi="Times New Roman" w:cs="Times New Roman"/>
          <w:color w:val="auto"/>
          <w:highlight w:val="none"/>
        </w:rPr>
        <w:t>小组书面报告本级监督管理部门：</w:t>
      </w:r>
    </w:p>
    <w:p w14:paraId="059226E6">
      <w:pPr>
        <w:pStyle w:val="88"/>
        <w:spacing w:line="360" w:lineRule="auto"/>
        <w:ind w:left="239" w:leftChars="114" w:firstLine="240" w:firstLineChars="100"/>
        <w:rPr>
          <w:rFonts w:ascii="Times New Roman" w:hAnsi="Times New Roman" w:cs="Times New Roman"/>
          <w:color w:val="auto"/>
          <w:highlight w:val="none"/>
        </w:rPr>
      </w:pPr>
      <w:r>
        <w:rPr>
          <w:rFonts w:hint="eastAsia" w:ascii="Times New Roman" w:hAnsi="Times New Roman" w:cs="Times New Roman"/>
          <w:color w:val="auto"/>
          <w:highlight w:val="none"/>
        </w:rPr>
        <w:t>a.不同供应商的响应文件由同一单位或者个人编制；</w:t>
      </w:r>
    </w:p>
    <w:p w14:paraId="52EB0A6A">
      <w:pPr>
        <w:pStyle w:val="88"/>
        <w:spacing w:line="360" w:lineRule="auto"/>
        <w:ind w:left="239" w:leftChars="114" w:firstLine="240" w:firstLineChars="100"/>
        <w:rPr>
          <w:rFonts w:ascii="Times New Roman" w:hAnsi="Times New Roman" w:cs="Times New Roman"/>
          <w:color w:val="auto"/>
          <w:highlight w:val="none"/>
        </w:rPr>
      </w:pPr>
      <w:r>
        <w:rPr>
          <w:rFonts w:hint="eastAsia" w:ascii="Times New Roman" w:hAnsi="Times New Roman" w:cs="Times New Roman"/>
          <w:color w:val="auto"/>
          <w:highlight w:val="none"/>
        </w:rPr>
        <w:t>b.不同供应商委托同一单位或者个人办理</w:t>
      </w:r>
      <w:r>
        <w:rPr>
          <w:rFonts w:hint="eastAsia" w:ascii="Times New Roman" w:cs="Times New Roman"/>
          <w:color w:val="auto"/>
          <w:highlight w:val="none"/>
        </w:rPr>
        <w:t>磋商</w:t>
      </w:r>
      <w:r>
        <w:rPr>
          <w:rFonts w:hint="eastAsia" w:ascii="Times New Roman" w:hAnsi="Times New Roman" w:cs="Times New Roman"/>
          <w:color w:val="auto"/>
          <w:highlight w:val="none"/>
        </w:rPr>
        <w:t>事宜；</w:t>
      </w:r>
    </w:p>
    <w:p w14:paraId="1DFB5B94">
      <w:pPr>
        <w:pStyle w:val="88"/>
        <w:spacing w:line="360" w:lineRule="auto"/>
        <w:ind w:left="239" w:leftChars="114" w:firstLine="240" w:firstLineChars="100"/>
        <w:rPr>
          <w:rFonts w:ascii="Times New Roman" w:hAnsi="Times New Roman" w:cs="Times New Roman"/>
          <w:color w:val="auto"/>
          <w:highlight w:val="none"/>
        </w:rPr>
      </w:pPr>
      <w:r>
        <w:rPr>
          <w:rFonts w:hint="eastAsia" w:ascii="Times New Roman" w:hAnsi="Times New Roman" w:cs="Times New Roman"/>
          <w:color w:val="auto"/>
          <w:highlight w:val="none"/>
        </w:rPr>
        <w:t>c.不同供应商的响应文件载明的项目管理成员或者联系人员为同一人；</w:t>
      </w:r>
    </w:p>
    <w:p w14:paraId="4EF4F2CA">
      <w:pPr>
        <w:pStyle w:val="88"/>
        <w:spacing w:line="360" w:lineRule="auto"/>
        <w:ind w:left="239" w:leftChars="114" w:firstLine="240" w:firstLineChars="100"/>
        <w:rPr>
          <w:rFonts w:ascii="Times New Roman" w:hAnsi="Times New Roman" w:cs="Times New Roman"/>
          <w:color w:val="auto"/>
          <w:highlight w:val="none"/>
        </w:rPr>
      </w:pPr>
      <w:r>
        <w:rPr>
          <w:rFonts w:hint="eastAsia" w:ascii="Times New Roman" w:hAnsi="Times New Roman" w:cs="Times New Roman"/>
          <w:color w:val="auto"/>
          <w:highlight w:val="none"/>
        </w:rPr>
        <w:t>d.不同供应商的响应文件异常一致或者报价呈规律性差异；</w:t>
      </w:r>
    </w:p>
    <w:p w14:paraId="261307CD">
      <w:pPr>
        <w:pStyle w:val="88"/>
        <w:spacing w:line="360" w:lineRule="auto"/>
        <w:ind w:firstLine="480" w:firstLineChars="200"/>
        <w:rPr>
          <w:rFonts w:ascii="Times New Roman" w:hAnsi="Times New Roman" w:cs="Times New Roman"/>
          <w:color w:val="auto"/>
          <w:highlight w:val="none"/>
        </w:rPr>
      </w:pPr>
      <w:r>
        <w:rPr>
          <w:rFonts w:hint="eastAsia" w:ascii="Times New Roman" w:hAnsi="Times New Roman" w:cs="Times New Roman"/>
          <w:color w:val="auto"/>
          <w:highlight w:val="none"/>
        </w:rPr>
        <w:t>e.不同供应商的响应文件相互混装；</w:t>
      </w:r>
    </w:p>
    <w:p w14:paraId="431F03D6">
      <w:pPr>
        <w:pStyle w:val="88"/>
        <w:spacing w:line="360" w:lineRule="auto"/>
        <w:ind w:firstLine="480" w:firstLineChars="200"/>
        <w:rPr>
          <w:rFonts w:ascii="Times New Roman" w:hAnsi="Times New Roman" w:cs="Times New Roman"/>
          <w:color w:val="auto"/>
          <w:highlight w:val="none"/>
        </w:rPr>
      </w:pPr>
      <w:r>
        <w:rPr>
          <w:rFonts w:hint="eastAsia" w:ascii="Times New Roman" w:hAnsi="Times New Roman" w:cs="Times New Roman"/>
          <w:color w:val="auto"/>
          <w:highlight w:val="none"/>
        </w:rPr>
        <w:t>f.不同供应商的</w:t>
      </w:r>
      <w:r>
        <w:rPr>
          <w:rFonts w:hint="eastAsia" w:ascii="Times New Roman" w:cs="Times New Roman"/>
          <w:color w:val="auto"/>
          <w:highlight w:val="none"/>
        </w:rPr>
        <w:t>磋商</w:t>
      </w:r>
      <w:r>
        <w:rPr>
          <w:rFonts w:hint="eastAsia" w:ascii="Times New Roman" w:hAnsi="Times New Roman" w:cs="Times New Roman"/>
          <w:color w:val="auto"/>
          <w:highlight w:val="none"/>
        </w:rPr>
        <w:t>保证金从同一单位或者个人的账户转出。</w:t>
      </w:r>
    </w:p>
    <w:p w14:paraId="17E303B5">
      <w:pPr>
        <w:pStyle w:val="88"/>
        <w:spacing w:line="360" w:lineRule="auto"/>
        <w:ind w:left="239" w:leftChars="114"/>
        <w:rPr>
          <w:rFonts w:ascii="Times New Roman" w:hAnsi="Times New Roman" w:cs="Times New Roman"/>
          <w:color w:val="auto"/>
          <w:highlight w:val="none"/>
        </w:rPr>
      </w:pPr>
      <w:r>
        <w:rPr>
          <w:rFonts w:hint="eastAsia" w:ascii="Times New Roman" w:cs="Times New Roman"/>
          <w:color w:val="auto"/>
          <w:highlight w:val="none"/>
        </w:rPr>
        <w:t>6</w:t>
      </w:r>
      <w:r>
        <w:rPr>
          <w:rFonts w:hint="eastAsia" w:ascii="Times New Roman" w:hAnsi="Times New Roman" w:cs="Times New Roman"/>
          <w:color w:val="auto"/>
          <w:highlight w:val="none"/>
        </w:rPr>
        <w:t>.4在确定成交供应商之前，供应商试图在响应文件审查、澄清、比较和评价时对</w:t>
      </w:r>
      <w:r>
        <w:rPr>
          <w:rFonts w:hint="eastAsia" w:ascii="Times New Roman" w:cs="Times New Roman"/>
          <w:color w:val="auto"/>
          <w:highlight w:val="none"/>
        </w:rPr>
        <w:t>磋商</w:t>
      </w:r>
      <w:r>
        <w:rPr>
          <w:rFonts w:hint="eastAsia" w:ascii="Times New Roman" w:hAnsi="Times New Roman" w:cs="Times New Roman"/>
          <w:color w:val="auto"/>
          <w:highlight w:val="none"/>
        </w:rPr>
        <w:t>小组、采购人和代理机构施加任何影响都可能导致其响应无效。</w:t>
      </w:r>
    </w:p>
    <w:p w14:paraId="7B11FDDC">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7、响应专用章的效力</w:t>
      </w:r>
    </w:p>
    <w:p w14:paraId="7C44C938">
      <w:pPr>
        <w:spacing w:line="360" w:lineRule="auto"/>
        <w:ind w:left="240"/>
        <w:rPr>
          <w:rFonts w:hint="eastAsia" w:ascii="宋体" w:hAnsi="宋体"/>
          <w:sz w:val="24"/>
          <w:szCs w:val="24"/>
          <w:highlight w:val="none"/>
        </w:rPr>
      </w:pPr>
      <w:r>
        <w:rPr>
          <w:rFonts w:hint="eastAsia" w:ascii="宋体" w:hAnsi="宋体"/>
          <w:sz w:val="24"/>
          <w:szCs w:val="24"/>
          <w:highlight w:val="none"/>
        </w:rPr>
        <w:t>磋商文件中明确要求盖章的，供应商须按本须知中盖章规定完成盖章。在有授权文件（授权文件须放入响应文件中）表明响应专用章法律效力等同于供应商公章的情况下，可以加盖响应专用章，</w:t>
      </w:r>
      <w:r>
        <w:rPr>
          <w:rFonts w:hint="eastAsia" w:ascii="宋体" w:hAnsi="宋体"/>
          <w:b/>
          <w:bCs/>
          <w:sz w:val="24"/>
          <w:szCs w:val="24"/>
          <w:highlight w:val="none"/>
        </w:rPr>
        <w:t>否则将导致响应无效</w:t>
      </w:r>
      <w:r>
        <w:rPr>
          <w:rFonts w:hint="eastAsia" w:ascii="宋体" w:hAnsi="宋体"/>
          <w:sz w:val="24"/>
          <w:szCs w:val="24"/>
          <w:highlight w:val="none"/>
        </w:rPr>
        <w:t>。</w:t>
      </w:r>
    </w:p>
    <w:p w14:paraId="75E8638D">
      <w:pPr>
        <w:numPr>
          <w:ilvl w:val="0"/>
          <w:numId w:val="4"/>
        </w:num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 xml:space="preserve">合同标的转包与分包 </w:t>
      </w:r>
    </w:p>
    <w:p w14:paraId="6F3FFBF3">
      <w:pPr>
        <w:spacing w:line="360" w:lineRule="auto"/>
        <w:ind w:left="266" w:right="-4" w:rightChars="-2"/>
        <w:rPr>
          <w:rFonts w:hint="eastAsia"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.1成交供应商不得向他人转包成交项目，也不得将成交项目向他人违法分包。</w:t>
      </w:r>
    </w:p>
    <w:p w14:paraId="04B1907E">
      <w:pPr>
        <w:spacing w:line="360" w:lineRule="auto"/>
        <w:ind w:left="266" w:right="-4" w:rightChars="-2"/>
        <w:rPr>
          <w:rFonts w:hint="eastAsia"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2经采购人同意，成交供应商可以将成交项目的部分非主体、非关键性工作分包给他人完成。接受分包的人应当具备相应的资格条件，并不得再次分包。如采购人允许分包，供应商根据采购项目的实际情况，拟在成交后将项目的非主体、非关键性工作交由他人完成的，应在响应文件中载明。</w:t>
      </w:r>
    </w:p>
    <w:p w14:paraId="2B00E4F3">
      <w:pPr>
        <w:spacing w:line="360" w:lineRule="auto"/>
        <w:ind w:left="266" w:right="-4" w:rightChars="-2"/>
        <w:rPr>
          <w:rFonts w:hint="eastAsia" w:ascii="宋体" w:hAnsi="宋体" w:cs="Arial"/>
          <w:sz w:val="24"/>
          <w:szCs w:val="24"/>
          <w:highlight w:val="none"/>
        </w:rPr>
      </w:pPr>
      <w:r>
        <w:rPr>
          <w:rFonts w:ascii="宋体" w:hAnsi="宋体"/>
          <w:sz w:val="24"/>
          <w:szCs w:val="24"/>
          <w:highlight w:val="none"/>
        </w:rPr>
        <w:t>8</w:t>
      </w:r>
      <w:r>
        <w:rPr>
          <w:rFonts w:hint="eastAsia" w:ascii="宋体" w:hAnsi="宋体"/>
          <w:sz w:val="24"/>
          <w:szCs w:val="24"/>
          <w:highlight w:val="none"/>
        </w:rPr>
        <w:t>.3成交供应商就采购项目和分包项目向采购人负责，分包供应商就分包项目承担责任。</w:t>
      </w:r>
    </w:p>
    <w:p w14:paraId="5C5C1A70">
      <w:pPr>
        <w:spacing w:line="360" w:lineRule="auto"/>
        <w:jc w:val="center"/>
        <w:rPr>
          <w:rFonts w:hint="eastAsia" w:ascii="宋体" w:hAnsi="宋体" w:cs="Arial"/>
          <w:b/>
          <w:sz w:val="28"/>
          <w:szCs w:val="28"/>
          <w:highlight w:val="none"/>
        </w:rPr>
      </w:pPr>
      <w:r>
        <w:rPr>
          <w:rFonts w:ascii="宋体" w:hAnsi="宋体" w:cs="Arial"/>
          <w:b/>
          <w:sz w:val="28"/>
          <w:szCs w:val="28"/>
          <w:highlight w:val="none"/>
        </w:rPr>
        <w:t>(</w:t>
      </w:r>
      <w:r>
        <w:rPr>
          <w:rFonts w:hint="eastAsia" w:ascii="宋体" w:hAnsi="宋体" w:cs="Arial"/>
          <w:b/>
          <w:sz w:val="28"/>
          <w:szCs w:val="28"/>
          <w:highlight w:val="none"/>
        </w:rPr>
        <w:t>二)磋商采购文件</w:t>
      </w:r>
    </w:p>
    <w:p w14:paraId="546F248F">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9、磋商采购文件构成</w:t>
      </w:r>
    </w:p>
    <w:p w14:paraId="46DA750A">
      <w:pPr>
        <w:tabs>
          <w:tab w:val="left" w:pos="720"/>
        </w:tabs>
        <w:spacing w:line="360" w:lineRule="auto"/>
        <w:ind w:left="266"/>
        <w:rPr>
          <w:rFonts w:hint="eastAsia" w:ascii="宋体" w:hAnsi="宋体" w:cs="Arial"/>
          <w:color w:val="000000"/>
          <w:sz w:val="24"/>
          <w:szCs w:val="24"/>
          <w:highlight w:val="none"/>
        </w:rPr>
      </w:pPr>
      <w:r>
        <w:rPr>
          <w:rFonts w:hint="eastAsia" w:ascii="宋体" w:hAnsi="宋体"/>
          <w:sz w:val="24"/>
          <w:szCs w:val="24"/>
          <w:highlight w:val="none"/>
        </w:rPr>
        <w:t>9.1磋商采购文件包括</w:t>
      </w:r>
      <w:r>
        <w:rPr>
          <w:rFonts w:hint="eastAsia" w:ascii="宋体" w:hAnsi="宋体" w:cs="Arial"/>
          <w:color w:val="000000"/>
          <w:sz w:val="24"/>
          <w:szCs w:val="24"/>
          <w:highlight w:val="none"/>
        </w:rPr>
        <w:t>：</w:t>
      </w:r>
    </w:p>
    <w:p w14:paraId="45C8DA79">
      <w:pPr>
        <w:tabs>
          <w:tab w:val="left" w:pos="720"/>
        </w:tabs>
        <w:spacing w:line="360" w:lineRule="auto"/>
        <w:ind w:firstLine="480" w:firstLineChars="200"/>
        <w:rPr>
          <w:rFonts w:hint="eastAsia" w:ascii="宋体" w:hAnsi="宋体" w:cs="Arial"/>
          <w:color w:val="000000"/>
          <w:sz w:val="24"/>
          <w:szCs w:val="24"/>
          <w:highlight w:val="none"/>
        </w:rPr>
      </w:pPr>
      <w:r>
        <w:rPr>
          <w:rFonts w:hint="eastAsia" w:ascii="宋体" w:hAnsi="宋体" w:cs="Arial"/>
          <w:color w:val="000000"/>
          <w:sz w:val="24"/>
          <w:szCs w:val="24"/>
          <w:highlight w:val="none"/>
        </w:rPr>
        <w:t>a.磋商公告</w:t>
      </w:r>
    </w:p>
    <w:p w14:paraId="457225A1">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b.供应商须知前附表</w:t>
      </w:r>
    </w:p>
    <w:p w14:paraId="471A6AE1">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c.供应商须知</w:t>
      </w:r>
    </w:p>
    <w:p w14:paraId="5B8307F6">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d.采购需求</w:t>
      </w:r>
    </w:p>
    <w:p w14:paraId="4CD55A7C">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e.评审办法</w:t>
      </w:r>
    </w:p>
    <w:p w14:paraId="2FFD1307">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f.采购合同</w:t>
      </w:r>
    </w:p>
    <w:p w14:paraId="1ACFAE11">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g.响应文件格式</w:t>
      </w:r>
    </w:p>
    <w:p w14:paraId="2C557055">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h.质疑函范本</w:t>
      </w:r>
    </w:p>
    <w:p w14:paraId="64C34285">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9.2供应商</w:t>
      </w:r>
      <w:r>
        <w:rPr>
          <w:rFonts w:ascii="宋体" w:hAnsi="宋体"/>
          <w:sz w:val="24"/>
          <w:szCs w:val="24"/>
          <w:highlight w:val="none"/>
        </w:rPr>
        <w:t>应认真阅读和充分理解</w:t>
      </w:r>
      <w:r>
        <w:rPr>
          <w:rFonts w:hint="eastAsia" w:ascii="宋体" w:hAnsi="宋体"/>
          <w:sz w:val="24"/>
          <w:szCs w:val="24"/>
          <w:highlight w:val="none"/>
        </w:rPr>
        <w:t>磋商</w:t>
      </w:r>
      <w:r>
        <w:rPr>
          <w:rFonts w:ascii="宋体" w:hAnsi="宋体"/>
          <w:sz w:val="24"/>
          <w:szCs w:val="24"/>
          <w:highlight w:val="none"/>
        </w:rPr>
        <w:t>文件中所有的内容。如果</w:t>
      </w:r>
      <w:r>
        <w:rPr>
          <w:rFonts w:hint="eastAsia" w:ascii="宋体" w:hAnsi="宋体"/>
          <w:sz w:val="24"/>
          <w:szCs w:val="24"/>
          <w:highlight w:val="none"/>
        </w:rPr>
        <w:t>其</w:t>
      </w:r>
      <w:r>
        <w:rPr>
          <w:rFonts w:ascii="宋体" w:hAnsi="宋体"/>
          <w:sz w:val="24"/>
          <w:szCs w:val="24"/>
          <w:highlight w:val="none"/>
        </w:rPr>
        <w:t>响应文件没有满足</w:t>
      </w:r>
      <w:r>
        <w:rPr>
          <w:rFonts w:hint="eastAsia" w:ascii="宋体" w:hAnsi="宋体"/>
          <w:sz w:val="24"/>
          <w:szCs w:val="24"/>
          <w:highlight w:val="none"/>
        </w:rPr>
        <w:t>磋商</w:t>
      </w:r>
      <w:r>
        <w:rPr>
          <w:rFonts w:ascii="宋体" w:hAnsi="宋体"/>
          <w:sz w:val="24"/>
          <w:szCs w:val="24"/>
          <w:highlight w:val="none"/>
        </w:rPr>
        <w:t>文件的有关要求，其风险由</w:t>
      </w:r>
      <w:r>
        <w:rPr>
          <w:rFonts w:hint="eastAsia" w:ascii="宋体" w:hAnsi="宋体"/>
          <w:sz w:val="24"/>
          <w:szCs w:val="24"/>
          <w:highlight w:val="none"/>
        </w:rPr>
        <w:t>供应商</w:t>
      </w:r>
      <w:r>
        <w:rPr>
          <w:rFonts w:ascii="宋体" w:hAnsi="宋体"/>
          <w:sz w:val="24"/>
          <w:szCs w:val="24"/>
          <w:highlight w:val="none"/>
        </w:rPr>
        <w:t>自行承担。</w:t>
      </w:r>
    </w:p>
    <w:p w14:paraId="31DBD9C2">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10、磋商采购文件的更正</w:t>
      </w:r>
    </w:p>
    <w:p w14:paraId="5A3DC177">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10.1供应商可以要求采购人对磋商文件中的有关问题进行答疑、澄清。</w:t>
      </w:r>
    </w:p>
    <w:p w14:paraId="0E33D1D8">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10.2供应商对磋商文件如有疑问（询问或质疑）或建议，应按“供应商须知前附表”中规定联系采购人、代理机构。</w:t>
      </w:r>
    </w:p>
    <w:p w14:paraId="7505F640">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10.3采购人、代理机构对受理（接受）的且需要做出磋商文件澄清修改的问题，将以更正公告的形式在采购公告中指定的网址公告答复，但不说明问题的来源。该更正是磋商文件不可缺少的组成部分，对参与采购活动的有关各方均具有约束力。供应商应主动登陆采购公告中指定网址查询该项目的相关更正公告。采购人、代理机构不承担供应商未及时关注相关信息引发的相关责任。</w:t>
      </w:r>
    </w:p>
    <w:p w14:paraId="00C4EA98">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10.4为使供应商有充分时间对磋商文件的修改部分进行研究（或其他原因），采购人可以决定延长响应文件提交截止日期。延长响应文件提交截止日期的通知将在指定的网址上发布，不再另行通知。</w:t>
      </w:r>
    </w:p>
    <w:p w14:paraId="1D6867B8">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10.5当磋商文件与磋商文件的更正公告就同一内容的表述不一致时，以最后发出的内容为准。</w:t>
      </w:r>
    </w:p>
    <w:p w14:paraId="495FAE8C">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10.6采购人、代理机构对受理（接受）的但无需要做出磋商文件修改的问题，只对问题来源进行回复，不再在指定网址公告。</w:t>
      </w:r>
    </w:p>
    <w:p w14:paraId="76B818BF">
      <w:pPr>
        <w:spacing w:line="360" w:lineRule="auto"/>
        <w:jc w:val="center"/>
        <w:rPr>
          <w:rFonts w:hint="eastAsia" w:ascii="宋体" w:hAnsi="宋体" w:cs="Arial"/>
          <w:b/>
          <w:sz w:val="28"/>
          <w:szCs w:val="28"/>
          <w:highlight w:val="none"/>
        </w:rPr>
      </w:pPr>
      <w:r>
        <w:rPr>
          <w:rFonts w:ascii="宋体" w:hAnsi="宋体" w:cs="Arial"/>
          <w:b/>
          <w:sz w:val="28"/>
          <w:szCs w:val="28"/>
          <w:highlight w:val="none"/>
        </w:rPr>
        <w:t>（</w:t>
      </w:r>
      <w:r>
        <w:rPr>
          <w:rFonts w:hint="eastAsia" w:ascii="宋体" w:hAnsi="宋体" w:cs="Arial"/>
          <w:b/>
          <w:sz w:val="28"/>
          <w:szCs w:val="28"/>
          <w:highlight w:val="none"/>
        </w:rPr>
        <w:t>三）响应文件编制要求</w:t>
      </w:r>
    </w:p>
    <w:p w14:paraId="0F9A3E7E">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11、响应文件的语言及度量衡单位</w:t>
      </w:r>
    </w:p>
    <w:p w14:paraId="2B5C18DA">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11.1供应商的响应文件、以及供应商与采购人就磋商的所有往来函电，均须使用简体中文。</w:t>
      </w:r>
    </w:p>
    <w:p w14:paraId="07323C10">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11.2除磋商文件中另有规定外，响应文件所使用的度量衡均须采用法定计量单位。</w:t>
      </w:r>
    </w:p>
    <w:p w14:paraId="2D36F5A0">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12、磋商响应文件构成</w:t>
      </w:r>
    </w:p>
    <w:p w14:paraId="3079BD5D">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12.1响应文件是对磋商文件的实质性响应及承诺文件。</w:t>
      </w:r>
    </w:p>
    <w:p w14:paraId="49626224">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12.2除注明供应商可自行制作格式或格式自理的，响应文件应使用磋商文件提供的格式。</w:t>
      </w:r>
    </w:p>
    <w:p w14:paraId="5E5BD23F">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12.3供应商应仔细阅读磋商文件的所有内容，按照磋商文件中规定格式和顺序进行编制，如有需要，可以增加，作为响应文件的组成部分。</w:t>
      </w:r>
    </w:p>
    <w:p w14:paraId="039DAC8F">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12.4如果项目分有多个包，除供应商前附表须知中有另外规定，供应商可以参与其中的一个或几个包的磋商，以包为单位分别编制响应文件。</w:t>
      </w:r>
    </w:p>
    <w:p w14:paraId="52F18C1E">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12.5供应商对其响应文件中的各项内容负责。供应商一旦成交，其响应文件将作为合同的重要组成部分。</w:t>
      </w:r>
    </w:p>
    <w:p w14:paraId="17992E26">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13、盖章要求</w:t>
      </w:r>
    </w:p>
    <w:p w14:paraId="6A8C13B6">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13.1磋商文件中要求签字的，应按文件要求签字或盖章。</w:t>
      </w:r>
    </w:p>
    <w:p w14:paraId="1ADD17E5">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13.2磋商文件中要求加盖供应商公章的，应加盖供应商公章。</w:t>
      </w:r>
    </w:p>
    <w:p w14:paraId="2EEA5973">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14、响应报价</w:t>
      </w:r>
    </w:p>
    <w:p w14:paraId="6F765F86">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14.1响应报价应当低于同类货物的市场平均价格。响应报价不得高于磋商文件（公告）列明的控制价、项目预算。</w:t>
      </w:r>
    </w:p>
    <w:p w14:paraId="2B3B9436">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14.2供应商的响应报价应包含所投所投货物、保险、税费、验收、利润和交付后约定期限内免费维保、培训等工作所发生的一切应有费用。响应报价为签订合同的依据。</w:t>
      </w:r>
    </w:p>
    <w:p w14:paraId="27B1B143">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14.3供应商应按磋商文件要求在磋商文件中注明拟提供服务的单价明细和总价。</w:t>
      </w:r>
    </w:p>
    <w:p w14:paraId="66EA226A">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14.4除磋商文件另有规定，报价可精确到小数点后两位，如超出两位，按照四舍五入方式计算至小数点后两位。</w:t>
      </w:r>
    </w:p>
    <w:p w14:paraId="3F373CDC">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14.5除特别要求，每个项目（或每个包）只允许有一个方案、一个报价。否则，多方案、多报价的响应书将作为无效响应处理。</w:t>
      </w:r>
    </w:p>
    <w:p w14:paraId="4526A388">
      <w:pPr>
        <w:spacing w:line="360" w:lineRule="auto"/>
        <w:ind w:left="266" w:right="-4" w:rightChars="-2"/>
        <w:rPr>
          <w:rFonts w:hint="eastAsia" w:ascii="宋体" w:hAnsi="宋体"/>
          <w:sz w:val="24"/>
          <w:szCs w:val="24"/>
          <w:highlight w:val="none"/>
        </w:rPr>
      </w:pPr>
      <w:r>
        <w:rPr>
          <w:rFonts w:hint="eastAsia" w:ascii="宋体" w:hAnsi="宋体"/>
          <w:sz w:val="24"/>
          <w:szCs w:val="24"/>
          <w:highlight w:val="none"/>
        </w:rPr>
        <w:t>14.6</w:t>
      </w:r>
      <w:r>
        <w:rPr>
          <w:rFonts w:hint="eastAsia" w:ascii="宋体" w:hAnsi="宋体" w:cs="Arial"/>
          <w:b/>
          <w:sz w:val="24"/>
          <w:szCs w:val="24"/>
          <w:highlight w:val="none"/>
        </w:rPr>
        <w:t>报价的货币：</w:t>
      </w:r>
      <w:r>
        <w:rPr>
          <w:rFonts w:hint="eastAsia" w:ascii="宋体" w:hAnsi="宋体"/>
          <w:sz w:val="24"/>
          <w:szCs w:val="24"/>
          <w:highlight w:val="none"/>
        </w:rPr>
        <w:t>人民币。</w:t>
      </w:r>
    </w:p>
    <w:p w14:paraId="765C698D">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15、响应内容填写及说明</w:t>
      </w:r>
    </w:p>
    <w:p w14:paraId="524A3B8F">
      <w:pPr>
        <w:spacing w:line="360" w:lineRule="auto"/>
        <w:ind w:left="165" w:right="-4" w:rightChars="-2"/>
        <w:rPr>
          <w:rFonts w:hint="eastAsia" w:ascii="宋体" w:hAnsi="宋体" w:cs="Arial"/>
          <w:b/>
          <w:sz w:val="24"/>
          <w:szCs w:val="24"/>
          <w:highlight w:val="none"/>
        </w:rPr>
      </w:pPr>
      <w:r>
        <w:rPr>
          <w:rFonts w:hint="eastAsia" w:ascii="宋体" w:hAnsi="宋体" w:cs="Arial"/>
          <w:sz w:val="24"/>
          <w:szCs w:val="24"/>
          <w:highlight w:val="none"/>
        </w:rPr>
        <w:t>15.1响应文件须对磋商文件载明的资格、服务、技术、商务、报价等全部要求和条件做出实质性和完整的响应，</w:t>
      </w:r>
      <w:r>
        <w:rPr>
          <w:rFonts w:hint="eastAsia" w:ascii="宋体" w:hAnsi="宋体" w:cs="Arial"/>
          <w:b/>
          <w:sz w:val="24"/>
          <w:szCs w:val="24"/>
          <w:highlight w:val="none"/>
        </w:rPr>
        <w:t>其中关于服务、技术、商务部分的响应，要注明详细的响应内容并提供采购文件所要求的相应证明材料，如仅填写“响应”“满足”而无详细的响应内容或未按要求提供的相应证明材料，将导致响应无效。</w:t>
      </w:r>
    </w:p>
    <w:p w14:paraId="04DBC82D">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15.2供应商应在响应文件中提交磋商文件要求的所有货物符合磋商文件规定的证明文件（可以是手册、图纸和资料等），并作为其响应文件的一部分。包括：货物主要内容的详细描述等。</w:t>
      </w:r>
    </w:p>
    <w:p w14:paraId="7E9B170C">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15.3响应文件应字迹清楚、编排有序、内容齐全、不得涂改或增删。如有错漏处必须修改，应在修改处由法定代表人、主要负责人，或者其授权代表签字或者盖章，并加盖公章。</w:t>
      </w:r>
    </w:p>
    <w:p w14:paraId="1ED02A1D">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15.4如果响应文件中附有外文资料，供应商必须把这些外文资料准确、完整地翻译成中文。对于关键性的证明文件，供应商应该提供与英文内容相同、且由同一人签署（或盖章）的中文原件，或经国内公证部门公证的中文翻译件。</w:t>
      </w:r>
    </w:p>
    <w:p w14:paraId="32EC4CAA">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16、磋商保证金</w:t>
      </w:r>
    </w:p>
    <w:p w14:paraId="2E45DD17">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16.1供应商须在响应文件提交截止时间前，按照供应商须知前附表规定的金额、</w:t>
      </w:r>
      <w:r>
        <w:rPr>
          <w:rFonts w:hint="eastAsia" w:ascii="宋体" w:hAnsi="宋体" w:cs="Arial"/>
          <w:sz w:val="24"/>
          <w:szCs w:val="24"/>
          <w:highlight w:val="none"/>
          <w:lang w:val="zh-CN"/>
        </w:rPr>
        <w:t>缴纳方式</w:t>
      </w:r>
      <w:r>
        <w:rPr>
          <w:rFonts w:hint="eastAsia" w:ascii="宋体" w:hAnsi="宋体" w:cs="Arial"/>
          <w:sz w:val="24"/>
          <w:szCs w:val="24"/>
          <w:highlight w:val="none"/>
        </w:rPr>
        <w:t>提交响应保证金，并作为其响应文件的组成部分。联合体响应的，其响应保证金由牵头人递交。</w:t>
      </w:r>
    </w:p>
    <w:p w14:paraId="493F9232">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16.2供应商的响应保证金须从供应商账户缴纳。响应保证金缴纳人名称与供应商名称应当一致。除采购文件另有规定，其分公司、子公司、个人代缴响应保证金，视同名称不一致。</w:t>
      </w:r>
    </w:p>
    <w:p w14:paraId="26D87603">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16.3对于未能按规定的</w:t>
      </w:r>
      <w:r>
        <w:rPr>
          <w:rFonts w:hint="eastAsia" w:ascii="宋体" w:hAnsi="宋体" w:cs="Arial"/>
          <w:sz w:val="24"/>
          <w:szCs w:val="24"/>
          <w:highlight w:val="none"/>
          <w:lang w:val="zh-CN"/>
        </w:rPr>
        <w:t>缴纳方式</w:t>
      </w:r>
      <w:r>
        <w:rPr>
          <w:rFonts w:hint="eastAsia" w:ascii="宋体" w:hAnsi="宋体" w:cs="Arial"/>
          <w:sz w:val="24"/>
          <w:szCs w:val="24"/>
          <w:highlight w:val="none"/>
        </w:rPr>
        <w:t>、时间及足额提交磋商保证金的，或磋商保证金缴纳人名称与供应商名称不一致的，供应商自行负责，将作为无效响应处理。</w:t>
      </w:r>
    </w:p>
    <w:p w14:paraId="59340F81">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16.4采用电汇（转账）方式的磋商保证金的退还：未成交供应商的磋商保证金，将在成交通知书发出后五个工作日内按原账户予以退还，不计利息。成交供应商响应保证金，将在采购合同签订之日起五个工作日内按原账户予以退还，不计利息。</w:t>
      </w:r>
    </w:p>
    <w:p w14:paraId="3D43AD77">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16.5为方便供应商，供应商采用电汇（转账）方式交纳的磋商保证金时不需开具保证金到账收据，退还保证金时也不需提供保证金收款收据。</w:t>
      </w:r>
    </w:p>
    <w:p w14:paraId="686293C2">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16.6存在下列情形的，供应商的响应保证金将不予退还：</w:t>
      </w:r>
    </w:p>
    <w:p w14:paraId="28CB580A">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a.供应商在提交响应文件截止时间后撤回响应文件的；</w:t>
      </w:r>
    </w:p>
    <w:p w14:paraId="1BFD33F4">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b.供应商在响应文件中提供虚假材料的；</w:t>
      </w:r>
    </w:p>
    <w:p w14:paraId="5BBED395">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c.除因不可抗力或磋商文件认可的情形外，成交供应商不与采购人签订合同的；</w:t>
      </w:r>
    </w:p>
    <w:p w14:paraId="42C7E0F5">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d.供应商与采购人、其他供应商或者采购代理机构恶意串通的；</w:t>
      </w:r>
    </w:p>
    <w:p w14:paraId="090DEB14">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e.法律、法规规定的其他情形。</w:t>
      </w:r>
    </w:p>
    <w:p w14:paraId="76000A19">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17、磋商有效期</w:t>
      </w:r>
    </w:p>
    <w:p w14:paraId="7A9044E2">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17.1磋商有效期在“供应商须知前附表”中有明确的规定。</w:t>
      </w:r>
    </w:p>
    <w:p w14:paraId="0BAF9036">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17.2在特殊情况下，采购人或代理机构可于原磋商有效期满之前，向供应商提出延长磋商有效期的要求。延长磋商有效期的要求将被刊登在指定的网站上。</w:t>
      </w:r>
    </w:p>
    <w:p w14:paraId="693C0FB4">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17.3供应商可以书面形式拒绝采购人或代理机构的这种要求而不失去其磋商保证金。如在规定的时间内未提出书面意见表示拒绝，将视为同意延长磋商有效期。</w:t>
      </w:r>
    </w:p>
    <w:p w14:paraId="40334D0C">
      <w:pPr>
        <w:spacing w:line="360" w:lineRule="auto"/>
        <w:jc w:val="center"/>
        <w:rPr>
          <w:rFonts w:hint="eastAsia" w:ascii="宋体" w:hAnsi="宋体" w:cs="Arial"/>
          <w:b/>
          <w:sz w:val="28"/>
          <w:szCs w:val="28"/>
          <w:highlight w:val="none"/>
        </w:rPr>
      </w:pPr>
      <w:r>
        <w:rPr>
          <w:rFonts w:hint="eastAsia" w:ascii="宋体" w:hAnsi="宋体" w:cs="Arial"/>
          <w:b/>
          <w:sz w:val="28"/>
          <w:szCs w:val="28"/>
          <w:highlight w:val="none"/>
        </w:rPr>
        <w:t>（四）磋商响应文件的封装、提交、撤回</w:t>
      </w:r>
    </w:p>
    <w:p w14:paraId="0B1FAB57">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 xml:space="preserve">18、响应文件的封装 </w:t>
      </w:r>
    </w:p>
    <w:p w14:paraId="58FCE43F">
      <w:pPr>
        <w:spacing w:line="360" w:lineRule="auto"/>
        <w:ind w:left="165" w:right="-4" w:rightChars="-2"/>
        <w:rPr>
          <w:rFonts w:hint="eastAsia" w:ascii="宋体" w:hAnsi="宋体" w:cs="Arial"/>
          <w:sz w:val="24"/>
          <w:szCs w:val="24"/>
          <w:highlight w:val="none"/>
        </w:rPr>
      </w:pPr>
      <w:r>
        <w:rPr>
          <w:rFonts w:hint="eastAsia" w:ascii="宋体" w:hAnsi="宋体" w:cs="Arial"/>
          <w:sz w:val="24"/>
          <w:szCs w:val="24"/>
          <w:highlight w:val="none"/>
        </w:rPr>
        <w:t>响应人应按照响应人须知前附表的要求准备响应文件，并在封面上注明“正本”和“副本”字样。响应文件的正本与副本如有不一致之处，以正本为准,依采购文件要求加盖响应人公章。供应商应将响应文件正副本一并封装，并在封口处加盖公章，未按要求认证并加密的响应文件，不予受理。</w:t>
      </w:r>
    </w:p>
    <w:p w14:paraId="78CD3533">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19、响应文件的提交</w:t>
      </w:r>
    </w:p>
    <w:p w14:paraId="737EF071">
      <w:pPr>
        <w:spacing w:line="360" w:lineRule="auto"/>
        <w:ind w:left="165" w:right="-4" w:rightChars="-2"/>
        <w:rPr>
          <w:rFonts w:hint="eastAsia" w:ascii="宋体" w:hAnsi="宋体" w:cs="Arial"/>
          <w:sz w:val="24"/>
          <w:szCs w:val="24"/>
          <w:highlight w:val="none"/>
        </w:rPr>
      </w:pPr>
      <w:r>
        <w:rPr>
          <w:rFonts w:hint="eastAsia" w:ascii="宋体" w:hAnsi="宋体" w:cs="Arial"/>
          <w:sz w:val="24"/>
          <w:szCs w:val="24"/>
          <w:highlight w:val="none"/>
        </w:rPr>
        <w:t>响应文件的提交是指供应商在</w:t>
      </w:r>
      <w:r>
        <w:rPr>
          <w:rFonts w:hint="eastAsia" w:ascii="宋体" w:hAnsi="宋体" w:cs="Arial"/>
          <w:b/>
          <w:bCs/>
          <w:sz w:val="24"/>
          <w:szCs w:val="24"/>
          <w:highlight w:val="none"/>
        </w:rPr>
        <w:t>响应文件提交截止时间</w:t>
      </w:r>
      <w:r>
        <w:rPr>
          <w:rFonts w:hint="eastAsia" w:ascii="宋体" w:hAnsi="宋体" w:cs="Arial"/>
          <w:sz w:val="24"/>
          <w:szCs w:val="24"/>
          <w:highlight w:val="none"/>
        </w:rPr>
        <w:t>之前提交至代理机构处。除磋商文件另有规定外，供应商所提交的响应文件不予退还。</w:t>
      </w:r>
    </w:p>
    <w:p w14:paraId="67DB1642">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 xml:space="preserve">20、响应文件的修改和撤回 </w:t>
      </w:r>
    </w:p>
    <w:p w14:paraId="5AF1E1E1">
      <w:pPr>
        <w:spacing w:line="360" w:lineRule="auto"/>
        <w:ind w:left="165" w:right="-4" w:rightChars="-2"/>
        <w:rPr>
          <w:rFonts w:hint="eastAsia" w:ascii="宋体" w:hAnsi="宋体" w:cs="Arial"/>
          <w:sz w:val="24"/>
          <w:szCs w:val="24"/>
          <w:highlight w:val="none"/>
        </w:rPr>
      </w:pPr>
      <w:r>
        <w:rPr>
          <w:rFonts w:hint="eastAsia" w:ascii="宋体" w:hAnsi="宋体" w:cs="Arial"/>
          <w:sz w:val="24"/>
          <w:szCs w:val="24"/>
          <w:highlight w:val="none"/>
        </w:rPr>
        <w:t>在响应文件提交截止时间前，供应商可以修改和撤回，修改和撤回后的响应文件可以重新提交。</w:t>
      </w:r>
    </w:p>
    <w:p w14:paraId="0C7350E7">
      <w:pPr>
        <w:pStyle w:val="11"/>
        <w:spacing w:line="360" w:lineRule="auto"/>
        <w:ind w:right="-4" w:rightChars="-2"/>
        <w:jc w:val="center"/>
        <w:rPr>
          <w:rFonts w:hint="eastAsia" w:ascii="宋体" w:hAnsi="宋体" w:cs="Arial"/>
          <w:sz w:val="28"/>
          <w:szCs w:val="28"/>
          <w:highlight w:val="none"/>
        </w:rPr>
      </w:pPr>
      <w:r>
        <w:rPr>
          <w:rFonts w:hint="eastAsia" w:ascii="宋体" w:hAnsi="宋体" w:eastAsia="宋体"/>
          <w:sz w:val="28"/>
          <w:szCs w:val="28"/>
          <w:highlight w:val="none"/>
        </w:rPr>
        <w:t>（五）采购程序</w:t>
      </w:r>
    </w:p>
    <w:p w14:paraId="3EF3716E">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21、磋商</w:t>
      </w:r>
    </w:p>
    <w:p w14:paraId="1C5355B1">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21.1采购人或代理机构按磋商文件规定的时间、地点组织磋商。采购人代表及有关工作人员参加，监管部门可视情况参加。</w:t>
      </w:r>
    </w:p>
    <w:p w14:paraId="440B1AC7">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21.2磋商会议由代理机构项目负责人主持。磋商会议上将当众公布供应商名称和磋商文件规定的需要宣布的其他内容。</w:t>
      </w:r>
    </w:p>
    <w:p w14:paraId="790F15F6">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21.3磋商会结束后，参与磋商的供应商联系电话应保持畅通，若接到项目负责人通知需要询标的，须联系供应商法定代表人（或主要负责人）或其授权委托人携其身份证明文件在20分钟之内参与询标。供应商未按规定参与询标的，磋商小组将作出不利于供应商的评审。</w:t>
      </w:r>
    </w:p>
    <w:p w14:paraId="52CA7E1E">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22、评审</w:t>
      </w:r>
    </w:p>
    <w:p w14:paraId="3D553990">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22.1评审工作由磋商小组进行，磋商小组由采购人代表和评审专家共3人以上单数组成，采购人可以在评审前说明项目背景和采购需求，说明内容不得含有歧视性、倾向性意见，不得超出磋商文件所述范围。</w:t>
      </w:r>
    </w:p>
    <w:p w14:paraId="098E1C09">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22.2磋商小组在采购活动过程中应当履行下列职责：</w:t>
      </w:r>
    </w:p>
    <w:p w14:paraId="2BD64D21">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a.确认磋商文件；</w:t>
      </w:r>
    </w:p>
    <w:p w14:paraId="5759A5E1">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b.从符合相应资格条件的供应商名单中确定不少于3家的供应商参加磋商；</w:t>
      </w:r>
    </w:p>
    <w:p w14:paraId="253DA01A">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c.审查供应商的响应文件并作出评价；确定成交候选人名单，以及根据采购人委托直接确定成交供应商；</w:t>
      </w:r>
    </w:p>
    <w:p w14:paraId="4833C67C">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d.对于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14:paraId="05525001">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e.编写评审报告；</w:t>
      </w:r>
    </w:p>
    <w:p w14:paraId="41D3D862">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f.告知采购人、代理机构在评审过程中发现的供应商的违法违规行为。</w:t>
      </w:r>
    </w:p>
    <w:p w14:paraId="7720ECE8">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22.3磋商小组成员应当履行下列义务：</w:t>
      </w:r>
    </w:p>
    <w:p w14:paraId="452D8128">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a.遵纪守法，客观、公正、廉洁地履行职责；</w:t>
      </w:r>
    </w:p>
    <w:p w14:paraId="7DC0C58D">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b.根据磋商文件的规定独立进行评审，对个人的评审意见承担法律责任；</w:t>
      </w:r>
    </w:p>
    <w:p w14:paraId="6767B33F">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c.完成评审报告；</w:t>
      </w:r>
    </w:p>
    <w:p w14:paraId="10547000">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d.配合采购人、代理机构答复供应商提出的质疑；</w:t>
      </w:r>
    </w:p>
    <w:p w14:paraId="125969FF">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e.配合监管部门的投诉处理和监督检查工作。</w:t>
      </w:r>
    </w:p>
    <w:p w14:paraId="0B4425BF">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22.4响应文件报价出现前后不一致的，按照下列规定修正：</w:t>
      </w:r>
    </w:p>
    <w:p w14:paraId="5068B626">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a.响应文件中磋商一览表（报价表）内容与响应文件中相应内容不一致的，以磋商一览表（报价表）为准；</w:t>
      </w:r>
    </w:p>
    <w:p w14:paraId="5C20BE9F">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b.大写金额和小写金额不一致的，以大写金额为准；</w:t>
      </w:r>
    </w:p>
    <w:p w14:paraId="6F3DCC66">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c.单价金额小数点或者百分比有明显错位的，以磋商一览表的总价为准，并修改单价；</w:t>
      </w:r>
    </w:p>
    <w:p w14:paraId="30D761D0">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d.总价金额与按单价汇总金额不一致的，以单价金额计算结果为准。同时出现两种以上不一致的，按照前款规定的顺序修正。修正后的报价须经供应商以书面形式加盖供应商公章或由法定代表人或其授权委托人签字确认后产生约束力，供应商不确认的，其响应文件无效。</w:t>
      </w:r>
    </w:p>
    <w:p w14:paraId="51D02CAC">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22.5磋商小组认为供应商的报价明显低于其他通过审查供应商的报价，有可能影响产品质量或者不能诚信履约的，应当要求其在合理的时间内提供书面说明，必要时提交相关证明材料；供应商不能证明其报价合理性的，磋商小组应当将其作为无效响应处理。</w:t>
      </w:r>
    </w:p>
    <w:p w14:paraId="3A4EA098">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23、磋商采购活动终止情形及响应文件无效情形</w:t>
      </w:r>
    </w:p>
    <w:p w14:paraId="7573C673">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23.1出现下列情形之一的，本项目磋商采购活动终止，发布项目终止公告并说明原因，重新开展采购活动：</w:t>
      </w:r>
    </w:p>
    <w:p w14:paraId="759124CF">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a</w:t>
      </w:r>
      <w:r>
        <w:rPr>
          <w:rFonts w:hint="eastAsia" w:ascii="宋体" w:hAnsi="宋体" w:cs="Arial"/>
          <w:color w:val="000000"/>
          <w:sz w:val="24"/>
          <w:szCs w:val="24"/>
          <w:highlight w:val="none"/>
          <w:lang w:val="zh-CN"/>
        </w:rPr>
        <w:t>.</w:t>
      </w:r>
      <w:r>
        <w:rPr>
          <w:rFonts w:hint="eastAsia" w:ascii="宋体" w:hAnsi="宋体" w:cs="Arial"/>
          <w:color w:val="000000"/>
          <w:sz w:val="24"/>
          <w:szCs w:val="24"/>
          <w:highlight w:val="none"/>
        </w:rPr>
        <w:t>因情况变化，不再符合规定的磋商采购方式适用情形的；</w:t>
      </w:r>
    </w:p>
    <w:p w14:paraId="5C3DFCED">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b</w:t>
      </w:r>
      <w:r>
        <w:rPr>
          <w:rFonts w:hint="eastAsia" w:ascii="宋体" w:hAnsi="宋体" w:cs="Arial"/>
          <w:color w:val="000000"/>
          <w:sz w:val="24"/>
          <w:szCs w:val="24"/>
          <w:highlight w:val="none"/>
          <w:lang w:val="zh-CN"/>
        </w:rPr>
        <w:t>.</w:t>
      </w:r>
      <w:r>
        <w:rPr>
          <w:rFonts w:hint="eastAsia" w:ascii="宋体" w:hAnsi="宋体" w:cs="Arial"/>
          <w:color w:val="000000"/>
          <w:sz w:val="24"/>
          <w:szCs w:val="24"/>
          <w:highlight w:val="none"/>
        </w:rPr>
        <w:t>出现影响采购公正的违法、违规行为的；</w:t>
      </w:r>
    </w:p>
    <w:p w14:paraId="511D074F">
      <w:pPr>
        <w:tabs>
          <w:tab w:val="left" w:pos="720"/>
        </w:tabs>
        <w:spacing w:line="360" w:lineRule="auto"/>
        <w:ind w:left="266" w:firstLine="240" w:firstLineChars="100"/>
        <w:rPr>
          <w:rFonts w:hint="eastAsia" w:ascii="宋体" w:hAnsi="宋体" w:cs="Arial"/>
          <w:color w:val="000000"/>
          <w:sz w:val="24"/>
          <w:szCs w:val="24"/>
          <w:highlight w:val="none"/>
          <w:lang w:val="zh-CN"/>
        </w:rPr>
      </w:pPr>
      <w:r>
        <w:rPr>
          <w:rFonts w:hint="eastAsia" w:ascii="宋体" w:hAnsi="宋体" w:cs="Arial"/>
          <w:color w:val="000000"/>
          <w:sz w:val="24"/>
          <w:szCs w:val="24"/>
          <w:highlight w:val="none"/>
        </w:rPr>
        <w:t>c</w:t>
      </w:r>
      <w:r>
        <w:rPr>
          <w:rFonts w:hint="eastAsia" w:ascii="宋体" w:hAnsi="宋体" w:cs="Arial"/>
          <w:color w:val="000000"/>
          <w:sz w:val="24"/>
          <w:szCs w:val="24"/>
          <w:highlight w:val="none"/>
          <w:lang w:val="zh-CN"/>
        </w:rPr>
        <w:t>.</w:t>
      </w:r>
      <w:r>
        <w:rPr>
          <w:rFonts w:hint="eastAsia" w:ascii="宋体" w:hAnsi="宋体" w:cs="Arial"/>
          <w:color w:val="000000"/>
          <w:sz w:val="24"/>
          <w:szCs w:val="24"/>
          <w:highlight w:val="none"/>
        </w:rPr>
        <w:t>在采购过程中符合竞争要求的供应商或者报价未超过采购预算的供应商不足3家的，但财库【2014】214号办法第三条第四项及财库【2015】124号规定情形除外。</w:t>
      </w:r>
    </w:p>
    <w:p w14:paraId="61AE3B29">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23.2供应商存在下列情况之一的，其响应文件无效：</w:t>
      </w:r>
    </w:p>
    <w:p w14:paraId="74208F73">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a</w:t>
      </w:r>
      <w:r>
        <w:rPr>
          <w:rFonts w:hint="eastAsia" w:ascii="宋体" w:hAnsi="宋体" w:cs="Arial"/>
          <w:color w:val="000000"/>
          <w:sz w:val="24"/>
          <w:szCs w:val="24"/>
          <w:highlight w:val="none"/>
          <w:lang w:val="zh-CN"/>
        </w:rPr>
        <w:t>.</w:t>
      </w:r>
      <w:r>
        <w:rPr>
          <w:rFonts w:hint="eastAsia" w:ascii="宋体" w:hAnsi="宋体" w:cs="Arial"/>
          <w:color w:val="000000"/>
          <w:sz w:val="24"/>
          <w:szCs w:val="24"/>
          <w:highlight w:val="none"/>
        </w:rPr>
        <w:t>未按照磋商文件的规定提交磋商保证金的；</w:t>
      </w:r>
    </w:p>
    <w:p w14:paraId="202C1CC6">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b</w:t>
      </w:r>
      <w:r>
        <w:rPr>
          <w:rFonts w:hint="eastAsia" w:ascii="宋体" w:hAnsi="宋体" w:cs="Arial"/>
          <w:color w:val="000000"/>
          <w:sz w:val="24"/>
          <w:szCs w:val="24"/>
          <w:highlight w:val="none"/>
          <w:lang w:val="zh-CN"/>
        </w:rPr>
        <w:t>.</w:t>
      </w:r>
      <w:r>
        <w:rPr>
          <w:rFonts w:hint="eastAsia" w:ascii="宋体" w:hAnsi="宋体" w:cs="Arial"/>
          <w:color w:val="000000"/>
          <w:sz w:val="24"/>
          <w:szCs w:val="24"/>
          <w:highlight w:val="none"/>
        </w:rPr>
        <w:t>响应文件未按照磋商文件要求签署、盖章的；</w:t>
      </w:r>
    </w:p>
    <w:p w14:paraId="5758A448">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c</w:t>
      </w:r>
      <w:r>
        <w:rPr>
          <w:rFonts w:hint="eastAsia" w:ascii="宋体" w:hAnsi="宋体" w:cs="Arial"/>
          <w:color w:val="000000"/>
          <w:sz w:val="24"/>
          <w:szCs w:val="24"/>
          <w:highlight w:val="none"/>
          <w:lang w:val="zh-CN"/>
        </w:rPr>
        <w:t>.</w:t>
      </w:r>
      <w:r>
        <w:rPr>
          <w:rFonts w:hint="eastAsia" w:ascii="宋体" w:hAnsi="宋体" w:cs="Arial"/>
          <w:color w:val="000000"/>
          <w:sz w:val="24"/>
          <w:szCs w:val="24"/>
          <w:highlight w:val="none"/>
        </w:rPr>
        <w:t>不符合磋商文件中规定的资格要求的；</w:t>
      </w:r>
    </w:p>
    <w:p w14:paraId="7EA33B83">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d</w:t>
      </w:r>
      <w:r>
        <w:rPr>
          <w:rFonts w:hint="eastAsia" w:ascii="宋体" w:hAnsi="宋体" w:cs="Arial"/>
          <w:color w:val="000000"/>
          <w:sz w:val="24"/>
          <w:szCs w:val="24"/>
          <w:highlight w:val="none"/>
          <w:lang w:val="zh-CN"/>
        </w:rPr>
        <w:t>.</w:t>
      </w:r>
      <w:r>
        <w:rPr>
          <w:rFonts w:hint="eastAsia" w:ascii="宋体" w:hAnsi="宋体" w:cs="Arial"/>
          <w:color w:val="000000"/>
          <w:sz w:val="24"/>
          <w:szCs w:val="24"/>
          <w:highlight w:val="none"/>
        </w:rPr>
        <w:t xml:space="preserve">响应文件出现重大偏差，未对磋商文件进行实质性和完整响应的； </w:t>
      </w:r>
    </w:p>
    <w:p w14:paraId="572F1D3B">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e</w:t>
      </w:r>
      <w:r>
        <w:rPr>
          <w:rFonts w:hint="eastAsia" w:ascii="宋体" w:hAnsi="宋体" w:cs="Arial"/>
          <w:color w:val="000000"/>
          <w:sz w:val="24"/>
          <w:szCs w:val="24"/>
          <w:highlight w:val="none"/>
          <w:lang w:val="zh-CN"/>
        </w:rPr>
        <w:t>.</w:t>
      </w:r>
      <w:r>
        <w:rPr>
          <w:rFonts w:hint="eastAsia" w:ascii="宋体" w:hAnsi="宋体" w:cs="Arial"/>
          <w:color w:val="000000"/>
          <w:sz w:val="24"/>
          <w:szCs w:val="24"/>
          <w:highlight w:val="none"/>
        </w:rPr>
        <w:t>报价超过磋商文件中规定的预算金额或者最高限价的；</w:t>
      </w:r>
    </w:p>
    <w:p w14:paraId="45813806">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f</w:t>
      </w:r>
      <w:r>
        <w:rPr>
          <w:rFonts w:hint="eastAsia" w:ascii="宋体" w:hAnsi="宋体" w:cs="Arial"/>
          <w:color w:val="000000"/>
          <w:sz w:val="24"/>
          <w:szCs w:val="24"/>
          <w:highlight w:val="none"/>
          <w:lang w:val="zh-CN"/>
        </w:rPr>
        <w:t>.</w:t>
      </w:r>
      <w:r>
        <w:rPr>
          <w:rFonts w:hint="eastAsia" w:ascii="宋体" w:hAnsi="宋体" w:cs="Arial"/>
          <w:color w:val="000000"/>
          <w:sz w:val="24"/>
          <w:szCs w:val="24"/>
          <w:highlight w:val="none"/>
        </w:rPr>
        <w:t>响应文件含有采购人不能接收的附加条件的；</w:t>
      </w:r>
    </w:p>
    <w:p w14:paraId="094F24FC">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g</w:t>
      </w:r>
      <w:r>
        <w:rPr>
          <w:rFonts w:hint="eastAsia" w:ascii="宋体" w:hAnsi="宋体" w:cs="Arial"/>
          <w:color w:val="000000"/>
          <w:sz w:val="24"/>
          <w:szCs w:val="24"/>
          <w:highlight w:val="none"/>
          <w:lang w:val="zh-CN"/>
        </w:rPr>
        <w:t>.</w:t>
      </w:r>
      <w:r>
        <w:rPr>
          <w:rFonts w:hint="eastAsia" w:ascii="宋体" w:hAnsi="宋体" w:cs="Arial"/>
          <w:color w:val="000000"/>
          <w:sz w:val="24"/>
          <w:szCs w:val="24"/>
          <w:highlight w:val="none"/>
        </w:rPr>
        <w:t xml:space="preserve">法律、法规和磋商文件规定的其他无效情形。  </w:t>
      </w:r>
    </w:p>
    <w:p w14:paraId="3C4A931E">
      <w:pPr>
        <w:spacing w:line="360" w:lineRule="auto"/>
        <w:ind w:firstLine="241" w:firstLineChars="100"/>
        <w:jc w:val="left"/>
        <w:rPr>
          <w:rFonts w:hint="eastAsia" w:ascii="宋体" w:hAnsi="宋体" w:cs="Arial"/>
          <w:b/>
          <w:sz w:val="24"/>
          <w:szCs w:val="24"/>
          <w:highlight w:val="none"/>
        </w:rPr>
      </w:pPr>
      <w:r>
        <w:rPr>
          <w:rFonts w:hint="eastAsia" w:ascii="宋体" w:hAnsi="宋体" w:cs="Arial"/>
          <w:b/>
          <w:sz w:val="24"/>
          <w:szCs w:val="24"/>
          <w:highlight w:val="none"/>
        </w:rPr>
        <w:t>24、二次采购</w:t>
      </w:r>
    </w:p>
    <w:p w14:paraId="13FAA8E3">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24.1项目终止后，采购人可能发布二次公告，进行二次采购。</w:t>
      </w:r>
    </w:p>
    <w:p w14:paraId="122DCEC8">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24.2二次采购可能调整前次采购的各项规定及要求，包括采购方式、项目预算、供应商资格、付款方式、采购需求、评审办法等。供应商参与二次采购，应及时获取二次采购文件，以二次采购文件为依据，编制二次响应文件。</w:t>
      </w:r>
    </w:p>
    <w:p w14:paraId="0262789F">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24.3前次采购失败的，采购人将退还供应商的磋商保证金。供应商参与二次采购前，须按最新公告公布的保证金要求重新交纳保证金。</w:t>
      </w:r>
    </w:p>
    <w:p w14:paraId="16BA1473">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24.4前款所述“二次”，系指项目终止后的重新公告及采购，并不仅限于项目的第二次公告及采购。</w:t>
      </w:r>
    </w:p>
    <w:p w14:paraId="7BAF4B74">
      <w:pPr>
        <w:pStyle w:val="11"/>
        <w:spacing w:line="360" w:lineRule="auto"/>
        <w:ind w:right="-4" w:rightChars="-2"/>
        <w:jc w:val="center"/>
        <w:rPr>
          <w:rFonts w:hint="eastAsia" w:ascii="宋体" w:hAnsi="宋体" w:eastAsia="宋体"/>
          <w:sz w:val="28"/>
          <w:szCs w:val="28"/>
          <w:highlight w:val="none"/>
        </w:rPr>
      </w:pPr>
      <w:r>
        <w:rPr>
          <w:rFonts w:hint="eastAsia" w:ascii="宋体" w:hAnsi="宋体" w:eastAsia="宋体"/>
          <w:sz w:val="28"/>
          <w:szCs w:val="28"/>
          <w:highlight w:val="none"/>
        </w:rPr>
        <w:t>（六）授予合同</w:t>
      </w:r>
    </w:p>
    <w:p w14:paraId="0EEEA385">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25、确定成交供应商及合同的签订与争议处理</w:t>
      </w:r>
    </w:p>
    <w:p w14:paraId="7403DAE3">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25.1采购人按照评审报告中推荐的成交侯选人顺序确定成交供应商。</w:t>
      </w:r>
    </w:p>
    <w:p w14:paraId="52F131CC">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25.2采购人将在指定网址发布成交公告。</w:t>
      </w:r>
    </w:p>
    <w:p w14:paraId="0A10385A">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25.3成交公告发布后，采购人将向成交供应商发放成交通知书。成交供应商应按规定及时领取成交通知书。</w:t>
      </w:r>
    </w:p>
    <w:p w14:paraId="2B4E94FC">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25.4采购人与成交供应商应当在成交通知书发出之日起7个工作日内，按照磋商文件确定的合同文本以及采购标的、规格型号、采购金额、采购数量、技术和服务要求等事项签订采购合同。</w:t>
      </w:r>
    </w:p>
    <w:p w14:paraId="00B65B8C">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25.5采购合同在履行过程中发生的争议，由双方当事人协商解决，协商解决不成的，提交宣城仲裁委员会仲裁。</w:t>
      </w:r>
    </w:p>
    <w:p w14:paraId="6EE2AEB9">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26、履约保证金</w:t>
      </w:r>
    </w:p>
    <w:p w14:paraId="0955D723">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26.1成交供应商应按磋商文件-采购需求中的规定向采购单位缴纳履约保证金。</w:t>
      </w:r>
    </w:p>
    <w:p w14:paraId="3D2B1655">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26.2履约保证金的退还，由采购人在合同中约定。</w:t>
      </w:r>
    </w:p>
    <w:p w14:paraId="390492B2">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27、成交通知书的领取</w:t>
      </w:r>
    </w:p>
    <w:p w14:paraId="7F7C8C01">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27.1成交供应商确定后,采购人将在“指定网站”发布成交公告，同时向成交供应商发出成交通知书。</w:t>
      </w:r>
    </w:p>
    <w:p w14:paraId="6813FE4B">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27.2除不可抗力等因素外，成交通知书发出后，采购人改变成交结果，或者成交供应商拒绝签订采购合同的，应当承担相应的法律责任。</w:t>
      </w:r>
    </w:p>
    <w:p w14:paraId="620F6DDE">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27.3成交供应商拒绝签订采购合同的，采购人可以</w:t>
      </w:r>
      <w:bookmarkStart w:id="45" w:name="_GoBack"/>
      <w:bookmarkEnd w:id="45"/>
      <w:r>
        <w:rPr>
          <w:rFonts w:hint="eastAsia" w:ascii="宋体" w:hAnsi="宋体" w:cs="Arial"/>
          <w:sz w:val="24"/>
          <w:szCs w:val="24"/>
          <w:highlight w:val="none"/>
        </w:rPr>
        <w:t>参照《政府采购非采购采购方式管理办法》规定的原则确定其他供应商作为成交供应商并签订采购合同，也可以重新开展采购活动。拒绝签订采购合同的成交供应商不得参加对该项目重新开展的采购活动。</w:t>
      </w:r>
    </w:p>
    <w:p w14:paraId="04F6C9B3">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28、代理费用的收取标准和方式</w:t>
      </w:r>
    </w:p>
    <w:p w14:paraId="0AA488A9">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按供应商须知前附表中规定。</w:t>
      </w:r>
    </w:p>
    <w:p w14:paraId="651B6A73">
      <w:pPr>
        <w:pStyle w:val="11"/>
        <w:spacing w:line="360" w:lineRule="auto"/>
        <w:ind w:right="-4" w:rightChars="-2"/>
        <w:jc w:val="center"/>
        <w:rPr>
          <w:rFonts w:hint="eastAsia" w:ascii="宋体" w:hAnsi="宋体" w:eastAsia="宋体"/>
          <w:sz w:val="28"/>
          <w:szCs w:val="28"/>
          <w:highlight w:val="none"/>
        </w:rPr>
      </w:pPr>
      <w:r>
        <w:rPr>
          <w:rFonts w:hint="eastAsia" w:ascii="宋体" w:hAnsi="宋体" w:eastAsia="宋体"/>
          <w:sz w:val="28"/>
          <w:szCs w:val="28"/>
          <w:highlight w:val="none"/>
        </w:rPr>
        <w:t>（七）质疑与投诉</w:t>
      </w:r>
    </w:p>
    <w:p w14:paraId="67CF9A50">
      <w:pPr>
        <w:spacing w:line="360" w:lineRule="auto"/>
        <w:jc w:val="left"/>
        <w:rPr>
          <w:rFonts w:hint="eastAsia" w:ascii="宋体" w:hAnsi="宋体" w:cs="Arial"/>
          <w:b/>
          <w:sz w:val="24"/>
          <w:szCs w:val="24"/>
          <w:highlight w:val="none"/>
        </w:rPr>
      </w:pPr>
      <w:r>
        <w:rPr>
          <w:rFonts w:hint="eastAsia" w:ascii="宋体" w:hAnsi="宋体" w:cs="Arial"/>
          <w:b/>
          <w:sz w:val="24"/>
          <w:szCs w:val="24"/>
          <w:highlight w:val="none"/>
        </w:rPr>
        <w:t>29、质疑</w:t>
      </w:r>
    </w:p>
    <w:p w14:paraId="225FD56B">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29.1提出质疑的供应商（以下简称质疑供应商）应当是参与本项目采购活动的供应商。潜在供应商已依法获取其可质疑的采购文件的，可以对该文件提出质疑。</w:t>
      </w:r>
    </w:p>
    <w:p w14:paraId="518B21FE">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29.2质疑供应商认为采购文件、采购过程、成交结果使自己的权益受到损害的，可以在知道或者应知其权益受到损害之日起7个工作日内，向采购人、代理机构提出质疑。</w:t>
      </w:r>
    </w:p>
    <w:p w14:paraId="61A3E8FC">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29.3质疑材料的接受详见《供应商须知前附表》；质疑材料格式详见第八章《质疑函范本》。</w:t>
      </w:r>
    </w:p>
    <w:p w14:paraId="682DF1F9">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29.4质疑实行实名制，依照《质疑函范本》编制，须内容要素齐全；应当有具体的事项及根据，不得进行虚假、恶意质疑，扰乱公共资源交易活动的正常工作秩序。</w:t>
      </w:r>
    </w:p>
    <w:p w14:paraId="45A8C2E9">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29.5质疑供应商对采购文件、采购过程、成交结果的质疑，应当在法定质疑期内一次性提出针对同一采购程序环节的质疑。</w:t>
      </w:r>
    </w:p>
    <w:p w14:paraId="764A3C3C">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29.6供应商提出质疑应当提交质疑函和必要的证明材料。质疑函包括下列内容：</w:t>
      </w:r>
    </w:p>
    <w:p w14:paraId="18F5B09A">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a.质疑供应商的姓名或者名称、地址、邮编、联系人及联系电话；</w:t>
      </w:r>
    </w:p>
    <w:p w14:paraId="2484BF84">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b.质疑项目的名称、编号，包别号（如有）；</w:t>
      </w:r>
    </w:p>
    <w:p w14:paraId="13B3EDF1">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c.具体、明确的质疑事项和与质疑事项相关的请求；</w:t>
      </w:r>
    </w:p>
    <w:p w14:paraId="78BBF8DC">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d.事实依据；</w:t>
      </w:r>
    </w:p>
    <w:p w14:paraId="5E47069B">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e.必要的法律依据；</w:t>
      </w:r>
    </w:p>
    <w:p w14:paraId="65D55DB8">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f.提出质疑的日期。</w:t>
      </w:r>
    </w:p>
    <w:p w14:paraId="45794DE2">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29.7质疑供应商可以委托代理人进行质疑。代理人提出质疑的，应当提交质疑供应商签署的授权委托书。其授权委托书应当载明代理人的姓名或者名称、代理事项、具体权限、期限和相关事项。</w:t>
      </w:r>
    </w:p>
    <w:p w14:paraId="59ADC279">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29.8质疑供应商为自然人的，应当由本人签字；质疑人为法人或者其他组织的，应当由法定代表人、主要负责人，或者其授权代表签字或者盖章，并加盖公章。</w:t>
      </w:r>
    </w:p>
    <w:p w14:paraId="7A0A80F5">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29.9有下列情形之一的，不予受理：</w:t>
      </w:r>
    </w:p>
    <w:p w14:paraId="00023184">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a.提起质疑的主体不是参与该采购项目活动的供应商；</w:t>
      </w:r>
    </w:p>
    <w:p w14:paraId="6F3247D4">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b.提起质疑的时间超过规定时限的；</w:t>
      </w:r>
    </w:p>
    <w:p w14:paraId="76FA76AA">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c.质疑材料不完整或有误的；</w:t>
      </w:r>
    </w:p>
    <w:p w14:paraId="01A7600E">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d.质疑事项含有主观猜测等内容且未提供有效线索、难以查证的；</w:t>
      </w:r>
    </w:p>
    <w:p w14:paraId="0D1CBC26">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e.对其他供应商的响应文件详细内容质疑，无法提供合法来源渠道的；</w:t>
      </w:r>
    </w:p>
    <w:p w14:paraId="226AC716">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f.质疑事项已进入投诉处理、行政复议或行政诉讼程序的。</w:t>
      </w:r>
    </w:p>
    <w:p w14:paraId="75646EB1">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29.10经审查符合质疑条件的，自收到质疑之日起即为受理。采购人、代理机构将在质疑受理后 7 个工作日内作出答复或相关处理决定（需要检验、检测、鉴定、专家评审的，所需时间不计算在内），并以书面形式通知质疑人，答复的内容不得涉及商业秘密。</w:t>
      </w:r>
    </w:p>
    <w:p w14:paraId="28F780BD">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29.11质疑供应商在答复期满前撤回质疑的，应由法定代表人或授权代表人签字确认，采购人、代理机构即终止质疑处理程序。质疑供应商不得以同一理由再次提出质疑。</w:t>
      </w:r>
    </w:p>
    <w:p w14:paraId="3A129B44">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29.12质疑供应商对采购人、代理机构的答复不满意，或采购人、代理机构未在规定时间内做出答复的，可以在答复期满后15个工作日内向监督管理部门提起投诉。</w:t>
      </w:r>
    </w:p>
    <w:p w14:paraId="76DB59EA">
      <w:pPr>
        <w:spacing w:line="360" w:lineRule="auto"/>
        <w:ind w:left="180" w:right="-4" w:rightChars="-2"/>
        <w:rPr>
          <w:rFonts w:hint="eastAsia" w:ascii="宋体" w:hAnsi="宋体" w:cs="Arial"/>
          <w:sz w:val="24"/>
          <w:szCs w:val="24"/>
          <w:highlight w:val="none"/>
        </w:rPr>
      </w:pPr>
      <w:r>
        <w:rPr>
          <w:rFonts w:hint="eastAsia" w:ascii="宋体" w:hAnsi="宋体" w:cs="Arial"/>
          <w:sz w:val="24"/>
          <w:szCs w:val="24"/>
          <w:highlight w:val="none"/>
        </w:rPr>
        <w:t>29.13质疑人有下列情形之一的，属于虚假、恶意质疑，将报监督管理部门予以处理。</w:t>
      </w:r>
    </w:p>
    <w:p w14:paraId="58155A85">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a.捏造事实；</w:t>
      </w:r>
    </w:p>
    <w:p w14:paraId="463E8B8A">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b.提供虚假材料；</w:t>
      </w:r>
    </w:p>
    <w:p w14:paraId="687C0433">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c.以非法手段取得证明材料。证据来源的合法性存在明显疑问，质疑供应商无法证明其取得方式合法的，视为以非法手段取得证明材料。</w:t>
      </w:r>
    </w:p>
    <w:p w14:paraId="78B9F4E9">
      <w:pPr>
        <w:pStyle w:val="11"/>
        <w:spacing w:line="360" w:lineRule="auto"/>
        <w:ind w:right="-4" w:rightChars="-2"/>
        <w:jc w:val="center"/>
        <w:rPr>
          <w:rFonts w:hint="eastAsia" w:ascii="宋体" w:hAnsi="宋体" w:eastAsia="宋体"/>
          <w:sz w:val="28"/>
          <w:szCs w:val="28"/>
          <w:highlight w:val="none"/>
        </w:rPr>
      </w:pPr>
      <w:r>
        <w:rPr>
          <w:rFonts w:hint="eastAsia" w:ascii="宋体" w:hAnsi="宋体" w:eastAsia="宋体"/>
          <w:sz w:val="28"/>
          <w:szCs w:val="28"/>
          <w:highlight w:val="none"/>
        </w:rPr>
        <w:t>（八） 未尽事宜</w:t>
      </w:r>
    </w:p>
    <w:p w14:paraId="10F58D6D">
      <w:pPr>
        <w:tabs>
          <w:tab w:val="left" w:pos="720"/>
        </w:tabs>
        <w:spacing w:line="360" w:lineRule="auto"/>
        <w:ind w:left="266" w:firstLine="240" w:firstLineChars="100"/>
        <w:rPr>
          <w:rFonts w:hint="eastAsia" w:ascii="宋体" w:hAnsi="宋体" w:cs="Arial"/>
          <w:color w:val="000000"/>
          <w:sz w:val="24"/>
          <w:szCs w:val="24"/>
          <w:highlight w:val="none"/>
        </w:rPr>
      </w:pPr>
      <w:r>
        <w:rPr>
          <w:rFonts w:hint="eastAsia" w:ascii="宋体" w:hAnsi="宋体" w:cs="Arial"/>
          <w:color w:val="000000"/>
          <w:sz w:val="24"/>
          <w:szCs w:val="24"/>
          <w:highlight w:val="none"/>
        </w:rPr>
        <w:t>按相关法律法规的规定执行。</w:t>
      </w:r>
    </w:p>
    <w:p w14:paraId="373F4EF6">
      <w:pPr>
        <w:spacing w:line="360" w:lineRule="auto"/>
        <w:ind w:left="239" w:leftChars="114" w:right="-4" w:rightChars="-2"/>
        <w:rPr>
          <w:sz w:val="24"/>
          <w:szCs w:val="24"/>
          <w:highlight w:val="none"/>
        </w:rPr>
      </w:pPr>
    </w:p>
    <w:p w14:paraId="12C50E55">
      <w:pPr>
        <w:tabs>
          <w:tab w:val="left" w:pos="720"/>
        </w:tabs>
        <w:spacing w:line="360" w:lineRule="auto"/>
        <w:ind w:right="-4" w:rightChars="-2"/>
        <w:jc w:val="center"/>
        <w:rPr>
          <w:b/>
          <w:bCs/>
          <w:sz w:val="28"/>
          <w:szCs w:val="28"/>
          <w:highlight w:val="none"/>
        </w:rPr>
      </w:pPr>
      <w:r>
        <w:rPr>
          <w:rFonts w:hint="eastAsia"/>
          <w:sz w:val="28"/>
          <w:szCs w:val="28"/>
          <w:highlight w:val="none"/>
        </w:rPr>
        <w:br w:type="page"/>
      </w:r>
      <w:r>
        <w:rPr>
          <w:rStyle w:val="54"/>
          <w:rFonts w:hint="eastAsia"/>
          <w:b/>
          <w:bCs/>
          <w:highlight w:val="none"/>
        </w:rPr>
        <w:t>四、采购需求</w:t>
      </w:r>
    </w:p>
    <w:p w14:paraId="2CC399FD">
      <w:pPr>
        <w:spacing w:line="360" w:lineRule="auto"/>
        <w:ind w:right="-4" w:rightChars="-2"/>
        <w:jc w:val="center"/>
        <w:rPr>
          <w:rFonts w:hint="eastAsia" w:ascii="宋体" w:hAnsi="宋体" w:cs="宋体"/>
          <w:sz w:val="23"/>
          <w:szCs w:val="23"/>
          <w:highlight w:val="none"/>
        </w:rPr>
      </w:pPr>
      <w:r>
        <w:rPr>
          <w:rFonts w:hint="eastAsia" w:ascii="宋体" w:hAnsi="宋体" w:cs="宋体"/>
          <w:kern w:val="0"/>
          <w:sz w:val="24"/>
          <w:szCs w:val="24"/>
          <w:highlight w:val="none"/>
        </w:rPr>
        <w:t>（以下采购需求部分由采购人：郎溪县人民医院提供并负责解释</w:t>
      </w:r>
      <w:r>
        <w:rPr>
          <w:rFonts w:hint="eastAsia" w:ascii="宋体" w:hAnsi="宋体" w:cs="宋体"/>
          <w:sz w:val="23"/>
          <w:szCs w:val="23"/>
          <w:highlight w:val="none"/>
        </w:rPr>
        <w:t>）</w:t>
      </w:r>
    </w:p>
    <w:p w14:paraId="66F740D8">
      <w:pPr>
        <w:numPr>
          <w:ilvl w:val="0"/>
          <w:numId w:val="5"/>
        </w:numPr>
        <w:autoSpaceDE w:val="0"/>
        <w:autoSpaceDN w:val="0"/>
        <w:adjustRightInd w:val="0"/>
        <w:spacing w:line="550" w:lineRule="exact"/>
        <w:ind w:firstLine="482" w:firstLineChars="200"/>
        <w:jc w:val="left"/>
        <w:rPr>
          <w:rFonts w:cs="宋体"/>
          <w:sz w:val="24"/>
          <w:szCs w:val="24"/>
          <w:highlight w:val="none"/>
        </w:rPr>
      </w:pPr>
      <w:r>
        <w:rPr>
          <w:rFonts w:hint="eastAsia" w:ascii="宋体" w:hAnsi="宋体" w:cs="宋体"/>
          <w:b/>
          <w:bCs/>
          <w:kern w:val="0"/>
          <w:sz w:val="24"/>
          <w:szCs w:val="24"/>
          <w:highlight w:val="none"/>
          <w:lang w:val="zh-CN"/>
        </w:rPr>
        <w:t>项目概况：</w:t>
      </w:r>
      <w:r>
        <w:rPr>
          <w:rFonts w:hint="eastAsia" w:ascii="宋体" w:hAnsi="宋体" w:cs="宋体"/>
          <w:sz w:val="24"/>
          <w:szCs w:val="24"/>
          <w:highlight w:val="none"/>
        </w:rPr>
        <w:t>本项目建设内容主要包括郎溪县人民医院改造工程、医共体单位新建及改造提升工程（主要包括建平镇卫生院、南丰分院、新发镇卫生院、飞鲤镇卫生院、梅渚镇卫生院以及郎溪县医共体精神病治疗中心（凌笪卫生院分院）），改造总建筑面积约为23891平方米，新建总建筑面积7220平方米，具体内容以招标人实际要求为准。</w:t>
      </w:r>
      <w:r>
        <w:rPr>
          <w:rFonts w:hint="eastAsia" w:cs="宋体"/>
          <w:sz w:val="24"/>
          <w:szCs w:val="24"/>
          <w:highlight w:val="none"/>
        </w:rPr>
        <w:t>主要内容</w:t>
      </w:r>
      <w:r>
        <w:rPr>
          <w:rFonts w:hint="eastAsia" w:ascii="宋体" w:hAnsi="宋体" w:cs="宋体"/>
          <w:sz w:val="24"/>
          <w:szCs w:val="24"/>
          <w:highlight w:val="none"/>
        </w:rPr>
        <w:t>包含工程施工阶段的编制项目监理规划和监理实施细则，质量控制，进度控制，投资控制，履行安全生产监理法定职责，合同管理，信息管理，协调工程建设相关方关系；竣工验收阶段的工程验收策划，组织单位工程预验收，提出质量评估意见，参与专项、验收，参与技术验收，参与单位工程验收，参与试生产，竣工资料收集与整理，具体详见</w:t>
      </w:r>
      <w:r>
        <w:rPr>
          <w:rFonts w:hint="eastAsia" w:cs="宋体"/>
          <w:sz w:val="24"/>
          <w:szCs w:val="24"/>
          <w:highlight w:val="none"/>
        </w:rPr>
        <w:t>采购需求。</w:t>
      </w:r>
    </w:p>
    <w:p w14:paraId="367F98AD">
      <w:pPr>
        <w:autoSpaceDE w:val="0"/>
        <w:autoSpaceDN w:val="0"/>
        <w:adjustRightInd w:val="0"/>
        <w:spacing w:line="550" w:lineRule="exact"/>
        <w:ind w:firstLine="241" w:firstLineChars="100"/>
        <w:jc w:val="left"/>
        <w:rPr>
          <w:rFonts w:hint="eastAsia" w:ascii="宋体" w:hAnsi="宋体" w:cs="宋体"/>
          <w:b/>
          <w:bCs/>
          <w:kern w:val="0"/>
          <w:sz w:val="24"/>
          <w:szCs w:val="24"/>
          <w:highlight w:val="none"/>
          <w:lang w:val="zh-CN"/>
        </w:rPr>
      </w:pPr>
      <w:r>
        <w:rPr>
          <w:rFonts w:hint="eastAsia" w:ascii="宋体" w:hAnsi="宋体" w:cs="宋体"/>
          <w:b/>
          <w:bCs/>
          <w:kern w:val="0"/>
          <w:sz w:val="24"/>
          <w:szCs w:val="24"/>
          <w:highlight w:val="none"/>
        </w:rPr>
        <w:t>二、服务内容</w:t>
      </w:r>
      <w:r>
        <w:rPr>
          <w:rFonts w:hint="eastAsia" w:ascii="宋体" w:hAnsi="宋体" w:cs="宋体"/>
          <w:b/>
          <w:bCs/>
          <w:kern w:val="0"/>
          <w:sz w:val="24"/>
          <w:szCs w:val="24"/>
          <w:highlight w:val="none"/>
          <w:lang w:val="zh-CN"/>
        </w:rPr>
        <w:t>：</w:t>
      </w:r>
    </w:p>
    <w:p w14:paraId="58110880">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（1）设计方面</w:t>
      </w:r>
    </w:p>
    <w:p w14:paraId="208006AB">
      <w:pPr>
        <w:autoSpaceDE w:val="0"/>
        <w:autoSpaceDN w:val="0"/>
        <w:adjustRightInd w:val="0"/>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核查并签发施工图，发现问题向委托人反映，重大问题向委托人做专题报告；2.主持或与委托人联合主持设计技术交底会议，编写会议纪要；3.协助委托人会同设计人对重大技术问题和优化设计进行专题讨论；4.审核承包人对施工图的意见和建议，协助委托人会同设计人进行研究；5.其他相关业务。</w:t>
      </w:r>
    </w:p>
    <w:p w14:paraId="6A8CA4BC">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（2）采购材料方面</w:t>
      </w:r>
    </w:p>
    <w:p w14:paraId="3098BF9A">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1.审批承包人采购的材料和工程设备的供货人及品种、规格、数量和供货间等；加强对各类砂石、水泥等原材料进场质量监管，确保符合质量标准。</w:t>
      </w:r>
    </w:p>
    <w:p w14:paraId="6EFB41B9">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2.其他相关业务。</w:t>
      </w:r>
    </w:p>
    <w:p w14:paraId="38153AB0">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（3）施工方面</w:t>
      </w:r>
    </w:p>
    <w:p w14:paraId="21793BBE">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1.协助委托人进行工程施工招标和签订工程施工合同。</w:t>
      </w:r>
    </w:p>
    <w:p w14:paraId="42F5BEA4">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2.全面管理工程施工合同，审查承包人选择的分包单位，并报委托人批准。</w:t>
      </w:r>
    </w:p>
    <w:p w14:paraId="689F7284">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3.督促委托人按工程施工合同的约定，落实必须提供的施工条件；检查承包人的开工准备工作。</w:t>
      </w:r>
    </w:p>
    <w:p w14:paraId="47F92318">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4.审核按工程施工合同文件约定应由承包人提交的设计文件。</w:t>
      </w:r>
    </w:p>
    <w:p w14:paraId="3BC43433">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5.审查承包人提交的施工组织设计、施工进度计划、施工措施计划等；审核工艺试验成果等。</w:t>
      </w:r>
    </w:p>
    <w:p w14:paraId="71135241">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14:paraId="0D477DA1">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施工质量控制。审查承包人的质量保证体系和措施；依据工程施工合同文件、设计文件、技术标准，对施工全过程进行检查，对重要部位、关键工序进行旁站监理；按照有关规定，对承包人进场的工程设备、建筑材料、建筑构配件、中间产品进行质量复验和抽样检测，复核承包人自评的工程质量等级；审核承包人提出的工程质量缺陷处理方案，参与调查质量事故。</w:t>
      </w:r>
    </w:p>
    <w:p w14:paraId="0AAB4044">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8.造价控制。协助委托人编制付款计划；审查承包人提交的资金流计划；核定 承包人完成的工程量，审核承包人提交的支付申请签发付款凭证；受理索赔申请， 提出处理建议意见；处理工程变更。</w:t>
      </w:r>
    </w:p>
    <w:p w14:paraId="66CD1BB6">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9.施工安全控制。审查承包人提出的安全技术措施、专项施工方案， 并检查实 施情况；检查冬雨季施工措施落实情况；参与安全事故调查。</w:t>
      </w:r>
    </w:p>
    <w:p w14:paraId="65ACF8FF">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10.协调施工合同各方之间的关系。</w:t>
      </w:r>
    </w:p>
    <w:p w14:paraId="37D92D59">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11.按有关规定参加工程验收，负责完成监理资料的汇总、整理，协助委托人检 查承包人的合同执行情况；做好验收的各项准备工作或者配合工作，提供工程监理资料，提交监理工作报告。</w:t>
      </w:r>
    </w:p>
    <w:p w14:paraId="21AD7997">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12.档案管理。做好施工现场的监理记录与信息反馈，做好监理文档管理工作， 合同期限届满时按照档案管理要求整理、归档并移交委托人。</w:t>
      </w:r>
    </w:p>
    <w:p w14:paraId="171E498F">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13.监督承包人执行保修期工作计划， 检查和验收尾工项目，对已移交工程中出现的质量缺陷等调查原因并提出处理意见。</w:t>
      </w:r>
    </w:p>
    <w:p w14:paraId="7FF8B329">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14.按照委托人签订的工程保险合同，做好施工现场工程保险合同的管理。协助委托人向保险公司及时提供一切必要的材料和证据。</w:t>
      </w:r>
    </w:p>
    <w:p w14:paraId="02FE1F4A">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15.其他相关工作。</w:t>
      </w:r>
    </w:p>
    <w:p w14:paraId="6A0302DE">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（4）检测咨询审计方面</w:t>
      </w:r>
    </w:p>
    <w:p w14:paraId="1091E634">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积极配合检测、咨询、审计等单位开展相关工作，提供详实资料，做好解释说明，提供优质服务。</w:t>
      </w:r>
    </w:p>
    <w:p w14:paraId="4839246B">
      <w:pPr>
        <w:autoSpaceDE w:val="0"/>
        <w:autoSpaceDN w:val="0"/>
        <w:adjustRightInd w:val="0"/>
        <w:spacing w:line="550" w:lineRule="exact"/>
        <w:ind w:firstLine="462" w:firstLineChars="200"/>
        <w:jc w:val="left"/>
        <w:rPr>
          <w:rFonts w:hint="eastAsia" w:ascii="宋体" w:hAnsi="宋体" w:cs="宋体"/>
          <w:bCs/>
          <w:sz w:val="24"/>
          <w:szCs w:val="24"/>
          <w:highlight w:val="none"/>
          <w:lang w:val="zh-CN"/>
        </w:rPr>
      </w:pPr>
      <w:r>
        <w:rPr>
          <w:rFonts w:hint="eastAsia" w:ascii="宋体" w:hAnsi="宋体" w:cs="宋体"/>
          <w:b/>
          <w:bCs/>
          <w:kern w:val="0"/>
          <w:sz w:val="23"/>
          <w:szCs w:val="23"/>
          <w:highlight w:val="none"/>
        </w:rPr>
        <w:t>三、</w:t>
      </w:r>
      <w:r>
        <w:rPr>
          <w:rFonts w:hint="eastAsia" w:ascii="宋体" w:hAnsi="宋体" w:cs="宋体"/>
          <w:b/>
          <w:bCs/>
          <w:sz w:val="23"/>
          <w:szCs w:val="23"/>
          <w:highlight w:val="none"/>
        </w:rPr>
        <w:t>监理依据：</w:t>
      </w:r>
      <w:r>
        <w:rPr>
          <w:rFonts w:hint="eastAsia" w:ascii="宋体" w:hAnsi="宋体" w:cs="宋体"/>
          <w:bCs/>
          <w:sz w:val="24"/>
          <w:szCs w:val="24"/>
          <w:highlight w:val="none"/>
          <w:lang w:val="zh-CN"/>
        </w:rPr>
        <w:t>委托监理合同、本项目设计图纸资料、相关国家、行业质量验收标准及《建设工程监理规范》 GBT50319-2013 相关要求等。</w:t>
      </w:r>
    </w:p>
    <w:p w14:paraId="5336FA4E">
      <w:pPr>
        <w:autoSpaceDE w:val="0"/>
        <w:autoSpaceDN w:val="0"/>
        <w:adjustRightInd w:val="0"/>
        <w:spacing w:line="550" w:lineRule="exact"/>
        <w:ind w:firstLine="462" w:firstLineChars="200"/>
        <w:jc w:val="left"/>
        <w:rPr>
          <w:rFonts w:hint="eastAsia" w:ascii="宋体" w:hAnsi="宋体" w:cs="宋体"/>
          <w:b/>
          <w:bCs/>
          <w:kern w:val="0"/>
          <w:sz w:val="23"/>
          <w:szCs w:val="23"/>
          <w:highlight w:val="none"/>
          <w:lang w:val="zh-CN"/>
        </w:rPr>
      </w:pPr>
      <w:r>
        <w:rPr>
          <w:rFonts w:hint="eastAsia" w:ascii="宋体" w:hAnsi="宋体" w:cs="宋体"/>
          <w:b/>
          <w:bCs/>
          <w:kern w:val="0"/>
          <w:sz w:val="23"/>
          <w:szCs w:val="23"/>
          <w:highlight w:val="none"/>
        </w:rPr>
        <w:t>四、</w:t>
      </w:r>
      <w:r>
        <w:rPr>
          <w:rFonts w:hint="eastAsia" w:ascii="宋体" w:hAnsi="宋体" w:cs="宋体"/>
          <w:b/>
          <w:bCs/>
          <w:kern w:val="0"/>
          <w:sz w:val="23"/>
          <w:szCs w:val="23"/>
          <w:highlight w:val="none"/>
          <w:lang w:val="zh-CN"/>
        </w:rPr>
        <w:t>监理人员配备数量要求：</w:t>
      </w:r>
    </w:p>
    <w:tbl>
      <w:tblPr>
        <w:tblStyle w:val="3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275"/>
        <w:gridCol w:w="5975"/>
      </w:tblGrid>
      <w:tr w14:paraId="2D62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35" w:type="dxa"/>
            <w:vAlign w:val="center"/>
          </w:tcPr>
          <w:p w14:paraId="7F2D6F94">
            <w:pPr>
              <w:pStyle w:val="78"/>
              <w:spacing w:line="550" w:lineRule="exact"/>
              <w:ind w:firstLine="0" w:firstLineChars="0"/>
              <w:jc w:val="center"/>
              <w:rPr>
                <w:rFonts w:hint="eastAsia" w:ascii="宋体" w:hAnsi="宋体" w:cs="宋体"/>
                <w:b/>
                <w:sz w:val="24"/>
                <w:szCs w:val="24"/>
                <w:highlight w:val="none"/>
                <w:lang w:val="zh-CN"/>
              </w:rPr>
            </w:pPr>
            <w:r>
              <w:rPr>
                <w:rFonts w:hint="eastAsia" w:ascii="宋体" w:hAnsi="宋体" w:cs="宋体"/>
                <w:b/>
                <w:sz w:val="24"/>
                <w:szCs w:val="24"/>
                <w:highlight w:val="none"/>
                <w:lang w:val="zh-CN"/>
              </w:rPr>
              <w:t>人员</w:t>
            </w:r>
          </w:p>
        </w:tc>
        <w:tc>
          <w:tcPr>
            <w:tcW w:w="1275" w:type="dxa"/>
            <w:vAlign w:val="center"/>
          </w:tcPr>
          <w:p w14:paraId="0D1E7A87">
            <w:pPr>
              <w:pStyle w:val="78"/>
              <w:spacing w:line="550" w:lineRule="exact"/>
              <w:ind w:firstLine="0" w:firstLineChars="0"/>
              <w:jc w:val="center"/>
              <w:rPr>
                <w:rFonts w:hint="eastAsia" w:ascii="宋体" w:hAnsi="宋体" w:cs="宋体"/>
                <w:b/>
                <w:sz w:val="24"/>
                <w:szCs w:val="24"/>
                <w:highlight w:val="none"/>
                <w:lang w:val="zh-CN"/>
              </w:rPr>
            </w:pPr>
            <w:r>
              <w:rPr>
                <w:rFonts w:hint="eastAsia" w:ascii="宋体" w:hAnsi="宋体" w:cs="宋体"/>
                <w:b/>
                <w:sz w:val="24"/>
                <w:szCs w:val="24"/>
                <w:highlight w:val="none"/>
                <w:lang w:val="zh-CN"/>
              </w:rPr>
              <w:t>人数（名）</w:t>
            </w:r>
          </w:p>
        </w:tc>
        <w:tc>
          <w:tcPr>
            <w:tcW w:w="5975" w:type="dxa"/>
            <w:vAlign w:val="center"/>
          </w:tcPr>
          <w:p w14:paraId="654F46F6">
            <w:pPr>
              <w:pStyle w:val="78"/>
              <w:spacing w:line="550" w:lineRule="exact"/>
              <w:ind w:firstLine="0" w:firstLineChars="0"/>
              <w:jc w:val="center"/>
              <w:rPr>
                <w:rFonts w:hint="eastAsia" w:ascii="宋体" w:hAnsi="宋体" w:cs="宋体"/>
                <w:b/>
                <w:sz w:val="24"/>
                <w:szCs w:val="24"/>
                <w:highlight w:val="none"/>
                <w:lang w:val="zh-CN"/>
              </w:rPr>
            </w:pPr>
            <w:r>
              <w:rPr>
                <w:rFonts w:hint="eastAsia" w:ascii="宋体" w:hAnsi="宋体" w:cs="宋体"/>
                <w:b/>
                <w:sz w:val="24"/>
                <w:szCs w:val="24"/>
                <w:highlight w:val="none"/>
                <w:lang w:val="zh-CN"/>
              </w:rPr>
              <w:t>备注</w:t>
            </w:r>
          </w:p>
        </w:tc>
      </w:tr>
      <w:tr w14:paraId="4CDC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835" w:type="dxa"/>
            <w:vAlign w:val="center"/>
          </w:tcPr>
          <w:p w14:paraId="2B92F8E6">
            <w:pPr>
              <w:spacing w:line="550" w:lineRule="exact"/>
              <w:jc w:val="left"/>
              <w:rPr>
                <w:rFonts w:hint="eastAsia" w:ascii="宋体" w:hAnsi="宋体" w:cs="宋体"/>
                <w:bCs/>
                <w:sz w:val="24"/>
                <w:szCs w:val="24"/>
                <w:highlight w:val="none"/>
                <w:lang w:val="zh-CN"/>
              </w:rPr>
            </w:pPr>
            <w:r>
              <w:rPr>
                <w:rFonts w:hint="eastAsia" w:ascii="宋体" w:hAnsi="宋体" w:cs="宋体"/>
                <w:bCs/>
                <w:sz w:val="24"/>
                <w:szCs w:val="24"/>
                <w:highlight w:val="none"/>
                <w:lang w:val="zh-CN"/>
              </w:rPr>
              <w:t>总监理工程师</w:t>
            </w:r>
          </w:p>
        </w:tc>
        <w:tc>
          <w:tcPr>
            <w:tcW w:w="1275" w:type="dxa"/>
            <w:vAlign w:val="center"/>
          </w:tcPr>
          <w:p w14:paraId="406357A3">
            <w:pPr>
              <w:pStyle w:val="78"/>
              <w:spacing w:line="550" w:lineRule="exact"/>
              <w:ind w:firstLine="0" w:firstLineChars="0"/>
              <w:jc w:val="center"/>
              <w:rPr>
                <w:rFonts w:hint="eastAsia" w:ascii="宋体" w:hAnsi="宋体" w:cs="宋体"/>
                <w:bCs/>
                <w:sz w:val="24"/>
                <w:szCs w:val="24"/>
                <w:highlight w:val="none"/>
                <w:lang w:val="zh-CN"/>
              </w:rPr>
            </w:pPr>
            <w:r>
              <w:rPr>
                <w:rFonts w:hint="eastAsia" w:ascii="宋体" w:hAnsi="宋体" w:cs="宋体"/>
                <w:bCs/>
                <w:sz w:val="24"/>
                <w:szCs w:val="24"/>
                <w:highlight w:val="none"/>
                <w:lang w:val="zh-CN"/>
              </w:rPr>
              <w:t>1</w:t>
            </w:r>
          </w:p>
        </w:tc>
        <w:tc>
          <w:tcPr>
            <w:tcW w:w="5975" w:type="dxa"/>
            <w:vAlign w:val="center"/>
          </w:tcPr>
          <w:p w14:paraId="3E25D804">
            <w:pPr>
              <w:pStyle w:val="78"/>
              <w:spacing w:line="550" w:lineRule="exact"/>
              <w:ind w:firstLine="0" w:firstLineChars="0"/>
              <w:jc w:val="left"/>
              <w:rPr>
                <w:rFonts w:hint="eastAsia" w:ascii="宋体" w:hAnsi="宋体" w:cs="宋体"/>
                <w:bCs/>
                <w:sz w:val="24"/>
                <w:szCs w:val="24"/>
                <w:highlight w:val="none"/>
                <w:lang w:val="zh-CN"/>
              </w:rPr>
            </w:pPr>
            <w:r>
              <w:rPr>
                <w:rFonts w:hint="eastAsia" w:ascii="宋体" w:hAnsi="宋体" w:cs="宋体"/>
                <w:bCs/>
                <w:sz w:val="24"/>
                <w:szCs w:val="24"/>
                <w:highlight w:val="none"/>
                <w:lang w:val="zh-CN"/>
              </w:rPr>
              <w:t>持有房屋建筑工程专业国家注册监理工程师注册证书</w:t>
            </w:r>
          </w:p>
        </w:tc>
      </w:tr>
      <w:tr w14:paraId="319A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1835" w:type="dxa"/>
            <w:vAlign w:val="center"/>
          </w:tcPr>
          <w:p w14:paraId="4F0DF284">
            <w:pPr>
              <w:spacing w:line="550" w:lineRule="exact"/>
              <w:jc w:val="left"/>
              <w:rPr>
                <w:rFonts w:hint="eastAsia" w:ascii="宋体" w:hAnsi="宋体" w:cs="宋体"/>
                <w:bCs/>
                <w:sz w:val="24"/>
                <w:szCs w:val="24"/>
                <w:highlight w:val="none"/>
                <w:lang w:val="zh-CN"/>
              </w:rPr>
            </w:pPr>
            <w:r>
              <w:rPr>
                <w:rFonts w:hint="eastAsia" w:ascii="宋体" w:hAnsi="宋体" w:cs="宋体"/>
                <w:bCs/>
                <w:sz w:val="24"/>
                <w:szCs w:val="24"/>
                <w:highlight w:val="none"/>
                <w:lang w:val="zh-CN"/>
              </w:rPr>
              <w:t>专业监理工程师（房屋建筑工程相关专业）</w:t>
            </w:r>
          </w:p>
        </w:tc>
        <w:tc>
          <w:tcPr>
            <w:tcW w:w="1275" w:type="dxa"/>
            <w:vAlign w:val="center"/>
          </w:tcPr>
          <w:p w14:paraId="651D9AB3">
            <w:pPr>
              <w:pStyle w:val="78"/>
              <w:spacing w:line="550" w:lineRule="exact"/>
              <w:ind w:firstLine="0" w:firstLineChars="0"/>
              <w:jc w:val="center"/>
              <w:rPr>
                <w:rFonts w:hint="eastAsia" w:ascii="宋体" w:hAnsi="宋体" w:cs="宋体"/>
                <w:bCs/>
                <w:sz w:val="24"/>
                <w:szCs w:val="24"/>
                <w:highlight w:val="none"/>
                <w:lang w:val="zh-CN"/>
              </w:rPr>
            </w:pPr>
            <w:r>
              <w:rPr>
                <w:rFonts w:hint="eastAsia" w:ascii="宋体" w:hAnsi="宋体" w:cs="宋体"/>
                <w:bCs/>
                <w:sz w:val="24"/>
                <w:szCs w:val="24"/>
                <w:highlight w:val="none"/>
                <w:lang w:val="zh-CN"/>
              </w:rPr>
              <w:t>1</w:t>
            </w:r>
          </w:p>
        </w:tc>
        <w:tc>
          <w:tcPr>
            <w:tcW w:w="5975" w:type="dxa"/>
            <w:vAlign w:val="center"/>
          </w:tcPr>
          <w:p w14:paraId="3BC4C2AF">
            <w:pPr>
              <w:pStyle w:val="78"/>
              <w:spacing w:line="550" w:lineRule="exact"/>
              <w:ind w:firstLine="480"/>
              <w:jc w:val="left"/>
              <w:rPr>
                <w:rFonts w:hint="eastAsia" w:ascii="宋体" w:hAnsi="宋体" w:cs="宋体"/>
                <w:bCs/>
                <w:sz w:val="24"/>
                <w:szCs w:val="24"/>
                <w:highlight w:val="none"/>
                <w:lang w:val="zh-CN"/>
              </w:rPr>
            </w:pPr>
            <w:r>
              <w:rPr>
                <w:rFonts w:hint="eastAsia" w:ascii="宋体" w:hAnsi="宋体" w:cs="宋体"/>
                <w:bCs/>
                <w:sz w:val="24"/>
                <w:szCs w:val="24"/>
                <w:highlight w:val="none"/>
                <w:lang w:val="zh-CN"/>
              </w:rPr>
              <w:t>专业监理工程师须具备本单位注册的国家注册监理工程师或省级及以上监理工程师证书。</w:t>
            </w:r>
          </w:p>
          <w:p w14:paraId="066D7E82">
            <w:pPr>
              <w:pStyle w:val="78"/>
              <w:spacing w:line="550" w:lineRule="exact"/>
              <w:ind w:firstLine="480"/>
              <w:jc w:val="left"/>
              <w:rPr>
                <w:rFonts w:hint="eastAsia" w:ascii="宋体" w:hAnsi="宋体" w:cs="宋体"/>
                <w:bCs/>
                <w:sz w:val="24"/>
                <w:szCs w:val="24"/>
                <w:highlight w:val="none"/>
                <w:lang w:val="zh-CN"/>
              </w:rPr>
            </w:pPr>
            <w:r>
              <w:rPr>
                <w:rFonts w:hint="eastAsia" w:ascii="宋体" w:hAnsi="宋体" w:cs="宋体"/>
                <w:bCs/>
                <w:sz w:val="24"/>
                <w:szCs w:val="24"/>
                <w:highlight w:val="none"/>
              </w:rPr>
              <w:t>注：</w:t>
            </w:r>
            <w:r>
              <w:rPr>
                <w:rFonts w:hint="eastAsia" w:ascii="宋体" w:hAnsi="宋体" w:cs="宋体"/>
                <w:bCs/>
                <w:sz w:val="24"/>
                <w:szCs w:val="24"/>
                <w:highlight w:val="none"/>
                <w:lang w:val="zh-CN"/>
              </w:rPr>
              <w:t>专业监理工程师（省级监理工程师）的专业以注册专业（或学历专业或职称专业）为准，以学历专业（或职称专业）证明其专业的，除需提供省级监理工程师证书外，还需提供学历证书（或职称证书），未按要求提供证书或经评标委员会一致认定为不合格的，响应按无效处理；专业监理工程师（省级监理工程师）可以采用国家级注册监理工程师代替，但其专业应满足上述要求。</w:t>
            </w:r>
          </w:p>
        </w:tc>
      </w:tr>
      <w:tr w14:paraId="052F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835" w:type="dxa"/>
            <w:vAlign w:val="center"/>
          </w:tcPr>
          <w:p w14:paraId="1E9986DC">
            <w:pPr>
              <w:pStyle w:val="78"/>
              <w:spacing w:line="550" w:lineRule="exact"/>
              <w:ind w:firstLine="0" w:firstLineChars="0"/>
              <w:jc w:val="left"/>
              <w:rPr>
                <w:rFonts w:hint="eastAsia" w:ascii="宋体" w:hAnsi="宋体" w:cs="宋体"/>
                <w:bCs/>
                <w:sz w:val="24"/>
                <w:szCs w:val="24"/>
                <w:highlight w:val="none"/>
                <w:lang w:val="zh-CN"/>
              </w:rPr>
            </w:pPr>
            <w:r>
              <w:rPr>
                <w:rFonts w:hint="eastAsia" w:ascii="宋体" w:hAnsi="宋体" w:cs="宋体"/>
                <w:bCs/>
                <w:sz w:val="24"/>
                <w:szCs w:val="24"/>
                <w:highlight w:val="none"/>
                <w:lang w:val="zh-CN"/>
              </w:rPr>
              <w:t>监理员</w:t>
            </w:r>
          </w:p>
        </w:tc>
        <w:tc>
          <w:tcPr>
            <w:tcW w:w="1275" w:type="dxa"/>
            <w:vAlign w:val="center"/>
          </w:tcPr>
          <w:p w14:paraId="02D77653">
            <w:pPr>
              <w:pStyle w:val="78"/>
              <w:spacing w:line="550" w:lineRule="exact"/>
              <w:ind w:firstLine="0" w:firstLineChars="0"/>
              <w:jc w:val="center"/>
              <w:rPr>
                <w:rFonts w:hint="eastAsia" w:ascii="宋体" w:hAnsi="宋体" w:cs="宋体"/>
                <w:bCs/>
                <w:sz w:val="24"/>
                <w:szCs w:val="24"/>
                <w:highlight w:val="none"/>
                <w:lang w:val="zh-CN"/>
              </w:rPr>
            </w:pPr>
            <w:r>
              <w:rPr>
                <w:rFonts w:hint="eastAsia" w:ascii="宋体" w:hAnsi="宋体" w:cs="宋体"/>
                <w:bCs/>
                <w:sz w:val="24"/>
                <w:szCs w:val="24"/>
                <w:highlight w:val="none"/>
                <w:lang w:val="zh-CN"/>
              </w:rPr>
              <w:t>3</w:t>
            </w:r>
          </w:p>
        </w:tc>
        <w:tc>
          <w:tcPr>
            <w:tcW w:w="5975" w:type="dxa"/>
            <w:vAlign w:val="center"/>
          </w:tcPr>
          <w:p w14:paraId="1EE2FDCF">
            <w:pPr>
              <w:pStyle w:val="78"/>
              <w:spacing w:line="550" w:lineRule="exact"/>
              <w:ind w:firstLine="0" w:firstLineChars="0"/>
              <w:jc w:val="left"/>
              <w:rPr>
                <w:rFonts w:hint="eastAsia" w:ascii="宋体" w:hAnsi="宋体" w:cs="宋体"/>
                <w:bCs/>
                <w:sz w:val="24"/>
                <w:szCs w:val="24"/>
                <w:highlight w:val="none"/>
                <w:lang w:val="zh-CN"/>
              </w:rPr>
            </w:pPr>
            <w:r>
              <w:rPr>
                <w:rFonts w:hint="eastAsia" w:ascii="宋体" w:hAnsi="宋体" w:cs="宋体"/>
                <w:bCs/>
                <w:sz w:val="24"/>
                <w:szCs w:val="24"/>
                <w:highlight w:val="none"/>
                <w:lang w:val="zh-CN"/>
              </w:rPr>
              <w:t>监理员须持有行业主管部门核发的监理员岗位证书，国家注册监理工程师或省级及以上监理工程师证书可代替。</w:t>
            </w:r>
          </w:p>
        </w:tc>
      </w:tr>
      <w:tr w14:paraId="2F49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835" w:type="dxa"/>
            <w:vAlign w:val="center"/>
          </w:tcPr>
          <w:p w14:paraId="125CAFDE">
            <w:pPr>
              <w:pStyle w:val="78"/>
              <w:spacing w:line="550" w:lineRule="exact"/>
              <w:ind w:firstLine="0" w:firstLineChars="0"/>
              <w:jc w:val="left"/>
              <w:rPr>
                <w:rFonts w:hint="eastAsia" w:ascii="宋体" w:hAnsi="宋体" w:cs="宋体"/>
                <w:bCs/>
                <w:sz w:val="24"/>
                <w:szCs w:val="24"/>
                <w:highlight w:val="none"/>
                <w:lang w:val="zh-CN"/>
              </w:rPr>
            </w:pPr>
            <w:r>
              <w:rPr>
                <w:rFonts w:hint="eastAsia" w:ascii="宋体" w:hAnsi="宋体" w:cs="宋体"/>
                <w:bCs/>
                <w:sz w:val="24"/>
                <w:szCs w:val="24"/>
                <w:highlight w:val="none"/>
                <w:lang w:val="zh-CN"/>
              </w:rPr>
              <w:t>共计</w:t>
            </w:r>
          </w:p>
        </w:tc>
        <w:tc>
          <w:tcPr>
            <w:tcW w:w="1275" w:type="dxa"/>
            <w:vAlign w:val="center"/>
          </w:tcPr>
          <w:p w14:paraId="08D389B4">
            <w:pPr>
              <w:pStyle w:val="78"/>
              <w:spacing w:line="550" w:lineRule="exact"/>
              <w:ind w:firstLine="0" w:firstLineChars="0"/>
              <w:jc w:val="left"/>
              <w:rPr>
                <w:rFonts w:hint="eastAsia" w:ascii="宋体" w:hAnsi="宋体" w:cs="宋体"/>
                <w:bCs/>
                <w:sz w:val="24"/>
                <w:szCs w:val="24"/>
                <w:highlight w:val="none"/>
                <w:lang w:val="zh-CN"/>
              </w:rPr>
            </w:pPr>
            <w:r>
              <w:rPr>
                <w:rFonts w:hint="eastAsia" w:ascii="宋体" w:hAnsi="宋体" w:cs="宋体"/>
                <w:bCs/>
                <w:sz w:val="24"/>
                <w:szCs w:val="24"/>
                <w:highlight w:val="none"/>
                <w:lang w:val="zh-CN"/>
              </w:rPr>
              <w:t>5</w:t>
            </w:r>
          </w:p>
        </w:tc>
        <w:tc>
          <w:tcPr>
            <w:tcW w:w="5975" w:type="dxa"/>
            <w:vAlign w:val="center"/>
          </w:tcPr>
          <w:p w14:paraId="36567EC1">
            <w:pPr>
              <w:pStyle w:val="78"/>
              <w:spacing w:line="550" w:lineRule="exact"/>
              <w:ind w:firstLine="480"/>
              <w:jc w:val="left"/>
              <w:rPr>
                <w:rFonts w:hint="eastAsia" w:ascii="宋体" w:hAnsi="宋体" w:cs="宋体"/>
                <w:bCs/>
                <w:sz w:val="24"/>
                <w:szCs w:val="24"/>
                <w:highlight w:val="none"/>
                <w:lang w:val="zh-CN"/>
              </w:rPr>
            </w:pPr>
            <w:r>
              <w:rPr>
                <w:rFonts w:hint="eastAsia" w:ascii="宋体" w:hAnsi="宋体" w:cs="宋体"/>
                <w:bCs/>
                <w:sz w:val="24"/>
                <w:szCs w:val="24"/>
                <w:highlight w:val="none"/>
                <w:lang w:val="zh-CN"/>
              </w:rPr>
              <w:t>所有人员需提供相关证书扫描件及在投标单位注册自本项目开标之日前半年任意1个月社保缴费清单或其他能够证明拟委任的项目人员参加社保的有效材料。</w:t>
            </w:r>
          </w:p>
        </w:tc>
      </w:tr>
    </w:tbl>
    <w:p w14:paraId="33B5FF60">
      <w:pPr>
        <w:autoSpaceDE w:val="0"/>
        <w:autoSpaceDN w:val="0"/>
        <w:adjustRightInd w:val="0"/>
        <w:spacing w:line="550" w:lineRule="exact"/>
        <w:ind w:firstLine="480" w:firstLineChars="200"/>
        <w:jc w:val="left"/>
        <w:rPr>
          <w:rFonts w:hint="eastAsia" w:ascii="宋体" w:hAnsi="宋体" w:cs="宋体"/>
          <w:bCs/>
          <w:sz w:val="24"/>
          <w:szCs w:val="24"/>
          <w:highlight w:val="none"/>
          <w:lang w:val="zh-CN"/>
        </w:rPr>
      </w:pPr>
      <w:r>
        <w:rPr>
          <w:rFonts w:hint="eastAsia" w:ascii="宋体" w:hAnsi="宋体" w:cs="宋体"/>
          <w:bCs/>
          <w:sz w:val="24"/>
          <w:szCs w:val="24"/>
          <w:highlight w:val="none"/>
          <w:lang w:val="zh-CN"/>
        </w:rPr>
        <w:t>说明：</w:t>
      </w:r>
    </w:p>
    <w:p w14:paraId="6812C7CF">
      <w:pPr>
        <w:autoSpaceDE w:val="0"/>
        <w:autoSpaceDN w:val="0"/>
        <w:adjustRightIn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表中所列人员为最低限度要求，成交单位可根据实际工作需要或采购人要求及时投入人员，施工期间工地需有人员驻点监理，非施工期和养护期则完成建设方指定的任务，主要是工程量计量、施工过程的质量、安全监理，竣工初验收、竣工验收等。项目组人员未经采购人同意不得更换，否则视为违约，采购人有权解除合同并追究违约责任。</w:t>
      </w:r>
    </w:p>
    <w:p w14:paraId="33884A69">
      <w:pPr>
        <w:autoSpaceDE w:val="0"/>
        <w:autoSpaceDN w:val="0"/>
        <w:adjustRightInd w:val="0"/>
        <w:spacing w:line="550" w:lineRule="exact"/>
        <w:rPr>
          <w:rFonts w:hint="eastAsia" w:ascii="宋体" w:hAnsi="宋体" w:cs="宋体"/>
          <w:b/>
          <w:bCs/>
          <w:kern w:val="0"/>
          <w:sz w:val="24"/>
          <w:szCs w:val="24"/>
          <w:highlight w:val="none"/>
          <w:lang w:val="zh-CN"/>
        </w:rPr>
      </w:pPr>
      <w:r>
        <w:rPr>
          <w:rFonts w:hint="eastAsia" w:ascii="宋体" w:hAnsi="宋体" w:cs="宋体"/>
          <w:b/>
          <w:bCs/>
          <w:kern w:val="0"/>
          <w:sz w:val="24"/>
          <w:szCs w:val="24"/>
          <w:highlight w:val="none"/>
          <w:lang w:val="zh-CN"/>
        </w:rPr>
        <w:t>（</w:t>
      </w:r>
      <w:r>
        <w:rPr>
          <w:rFonts w:hint="eastAsia" w:ascii="宋体" w:hAnsi="宋体" w:cs="宋体"/>
          <w:b/>
          <w:bCs/>
          <w:kern w:val="0"/>
          <w:sz w:val="24"/>
          <w:szCs w:val="24"/>
          <w:highlight w:val="none"/>
        </w:rPr>
        <w:t>三</w:t>
      </w:r>
      <w:r>
        <w:rPr>
          <w:rFonts w:hint="eastAsia" w:ascii="宋体" w:hAnsi="宋体" w:cs="宋体"/>
          <w:b/>
          <w:bCs/>
          <w:kern w:val="0"/>
          <w:sz w:val="24"/>
          <w:szCs w:val="24"/>
          <w:highlight w:val="none"/>
          <w:lang w:val="zh-CN"/>
        </w:rPr>
        <w:t>）响应人必须提交的证明文件：</w:t>
      </w:r>
    </w:p>
    <w:p w14:paraId="0E9B5B70">
      <w:pPr>
        <w:autoSpaceDE w:val="0"/>
        <w:autoSpaceDN w:val="0"/>
        <w:adjustRightInd w:val="0"/>
        <w:spacing w:line="550" w:lineRule="exact"/>
        <w:ind w:firstLine="480" w:firstLineChars="200"/>
        <w:rPr>
          <w:rFonts w:hint="eastAsia" w:ascii="宋体" w:hAnsi="宋体" w:cs="宋体"/>
          <w:bCs/>
          <w:sz w:val="24"/>
          <w:szCs w:val="24"/>
          <w:highlight w:val="none"/>
          <w:lang w:val="zh-CN"/>
        </w:rPr>
      </w:pPr>
      <w:r>
        <w:rPr>
          <w:rFonts w:hint="eastAsia" w:ascii="宋体" w:hAnsi="宋体" w:cs="宋体"/>
          <w:bCs/>
          <w:sz w:val="24"/>
          <w:szCs w:val="24"/>
          <w:highlight w:val="none"/>
        </w:rPr>
        <w:t xml:space="preserve">1. </w:t>
      </w:r>
      <w:r>
        <w:rPr>
          <w:rFonts w:hint="eastAsia" w:ascii="宋体" w:hAnsi="宋体" w:cs="宋体"/>
          <w:bCs/>
          <w:sz w:val="24"/>
          <w:szCs w:val="24"/>
          <w:highlight w:val="none"/>
          <w:lang w:val="zh-CN"/>
        </w:rPr>
        <w:t>营业执照副本、资质证书；扫描件并加盖供应商盖章。</w:t>
      </w:r>
    </w:p>
    <w:p w14:paraId="790FA17D">
      <w:pPr>
        <w:autoSpaceDE w:val="0"/>
        <w:autoSpaceDN w:val="0"/>
        <w:adjustRightInd w:val="0"/>
        <w:spacing w:line="550" w:lineRule="exact"/>
        <w:ind w:firstLine="480" w:firstLineChars="200"/>
        <w:rPr>
          <w:rFonts w:hint="eastAsia" w:ascii="宋体" w:hAnsi="宋体" w:cs="宋体"/>
          <w:bCs/>
          <w:sz w:val="24"/>
          <w:szCs w:val="24"/>
          <w:highlight w:val="none"/>
          <w:lang w:val="zh-CN"/>
        </w:rPr>
      </w:pPr>
      <w:r>
        <w:rPr>
          <w:rFonts w:hint="eastAsia" w:ascii="宋体" w:hAnsi="宋体" w:cs="宋体"/>
          <w:bCs/>
          <w:sz w:val="24"/>
          <w:szCs w:val="24"/>
          <w:highlight w:val="none"/>
        </w:rPr>
        <w:t>2.</w:t>
      </w:r>
      <w:r>
        <w:rPr>
          <w:rFonts w:hint="eastAsia" w:ascii="宋体" w:hAnsi="宋体" w:cs="宋体"/>
          <w:bCs/>
          <w:sz w:val="24"/>
          <w:szCs w:val="24"/>
          <w:highlight w:val="none"/>
          <w:lang w:val="zh-CN"/>
        </w:rPr>
        <w:t>法定代表人授权书；按规定格式。</w:t>
      </w:r>
    </w:p>
    <w:p w14:paraId="67B33563">
      <w:pPr>
        <w:autoSpaceDE w:val="0"/>
        <w:autoSpaceDN w:val="0"/>
        <w:adjustRightInd w:val="0"/>
        <w:spacing w:line="550" w:lineRule="exact"/>
        <w:ind w:firstLine="480" w:firstLineChars="200"/>
        <w:rPr>
          <w:rFonts w:hint="eastAsia" w:ascii="宋体" w:hAnsi="宋体" w:cs="宋体"/>
          <w:kern w:val="0"/>
          <w:sz w:val="24"/>
          <w:szCs w:val="24"/>
          <w:highlight w:val="none"/>
        </w:rPr>
      </w:pPr>
      <w:r>
        <w:rPr>
          <w:rFonts w:hint="eastAsia" w:ascii="宋体" w:hAnsi="宋体" w:cs="宋体"/>
          <w:bCs/>
          <w:sz w:val="24"/>
          <w:szCs w:val="24"/>
          <w:highlight w:val="none"/>
        </w:rPr>
        <w:t>3.磋商文件</w:t>
      </w:r>
      <w:r>
        <w:rPr>
          <w:rFonts w:hint="eastAsia" w:ascii="宋体" w:hAnsi="宋体" w:cs="宋体"/>
          <w:bCs/>
          <w:sz w:val="24"/>
          <w:szCs w:val="24"/>
          <w:highlight w:val="none"/>
          <w:lang w:val="zh-CN"/>
        </w:rPr>
        <w:t>中要求提供的其他证明</w:t>
      </w:r>
      <w:r>
        <w:rPr>
          <w:rFonts w:hint="eastAsia" w:ascii="宋体" w:hAnsi="宋体" w:cs="宋体"/>
          <w:bCs/>
          <w:sz w:val="24"/>
          <w:szCs w:val="24"/>
          <w:highlight w:val="none"/>
        </w:rPr>
        <w:t>材料</w:t>
      </w:r>
      <w:r>
        <w:rPr>
          <w:rFonts w:hint="eastAsia" w:ascii="宋体" w:hAnsi="宋体" w:cs="宋体"/>
          <w:bCs/>
          <w:sz w:val="24"/>
          <w:szCs w:val="24"/>
          <w:highlight w:val="none"/>
          <w:lang w:val="zh-CN"/>
        </w:rPr>
        <w:t>。</w:t>
      </w:r>
    </w:p>
    <w:p w14:paraId="61141644">
      <w:pPr>
        <w:autoSpaceDE w:val="0"/>
        <w:autoSpaceDN w:val="0"/>
        <w:adjustRightInd w:val="0"/>
        <w:spacing w:line="550" w:lineRule="exact"/>
        <w:rPr>
          <w:rFonts w:hint="eastAsia" w:ascii="宋体" w:hAnsi="宋体" w:cs="宋体"/>
          <w:b/>
          <w:bCs/>
          <w:kern w:val="0"/>
          <w:sz w:val="24"/>
          <w:szCs w:val="24"/>
          <w:highlight w:val="none"/>
          <w:lang w:val="zh-CN"/>
        </w:rPr>
      </w:pPr>
      <w:r>
        <w:rPr>
          <w:rFonts w:hint="eastAsia" w:ascii="宋体" w:hAnsi="宋体" w:cs="宋体"/>
          <w:b/>
          <w:bCs/>
          <w:kern w:val="0"/>
          <w:sz w:val="24"/>
          <w:szCs w:val="24"/>
          <w:highlight w:val="none"/>
          <w:lang w:val="zh-CN"/>
        </w:rPr>
        <w:t>（</w:t>
      </w:r>
      <w:r>
        <w:rPr>
          <w:rFonts w:hint="eastAsia" w:ascii="宋体" w:hAnsi="宋体" w:cs="宋体"/>
          <w:b/>
          <w:bCs/>
          <w:kern w:val="0"/>
          <w:sz w:val="24"/>
          <w:szCs w:val="24"/>
          <w:highlight w:val="none"/>
        </w:rPr>
        <w:t>四</w:t>
      </w:r>
      <w:r>
        <w:rPr>
          <w:rFonts w:hint="eastAsia" w:ascii="宋体" w:hAnsi="宋体" w:cs="宋体"/>
          <w:b/>
          <w:bCs/>
          <w:kern w:val="0"/>
          <w:sz w:val="24"/>
          <w:szCs w:val="24"/>
          <w:highlight w:val="none"/>
          <w:lang w:val="zh-CN"/>
        </w:rPr>
        <w:t>）合同主要条款：</w:t>
      </w:r>
    </w:p>
    <w:p w14:paraId="5AA71FD8">
      <w:pPr>
        <w:spacing w:line="550" w:lineRule="exact"/>
        <w:ind w:firstLine="482" w:firstLineChars="201"/>
        <w:jc w:val="left"/>
        <w:rPr>
          <w:rFonts w:hint="eastAsia" w:ascii="宋体" w:hAnsi="宋体" w:cs="宋体"/>
          <w:kern w:val="0"/>
          <w:sz w:val="24"/>
          <w:szCs w:val="24"/>
          <w:highlight w:val="none"/>
          <w:lang w:val="zh-CN"/>
        </w:rPr>
      </w:pPr>
      <w:r>
        <w:rPr>
          <w:rFonts w:hint="eastAsia" w:ascii="宋体" w:hAnsi="宋体" w:cs="宋体"/>
          <w:kern w:val="0"/>
          <w:sz w:val="24"/>
          <w:szCs w:val="24"/>
          <w:highlight w:val="none"/>
        </w:rPr>
        <w:t>1.付款方式：</w:t>
      </w:r>
      <w:r>
        <w:rPr>
          <w:rFonts w:hint="eastAsia" w:ascii="宋体" w:hAnsi="宋体" w:cs="宋体"/>
          <w:kern w:val="0"/>
          <w:sz w:val="24"/>
          <w:szCs w:val="24"/>
          <w:highlight w:val="none"/>
          <w:lang w:val="zh-CN"/>
        </w:rPr>
        <w:t>（1）服务费每三个月支付一次，每三个月根据工程进度支付已完工程量服务费的</w:t>
      </w:r>
      <w:r>
        <w:rPr>
          <w:rFonts w:hint="eastAsia" w:ascii="宋体" w:hAnsi="宋体" w:cs="宋体"/>
          <w:kern w:val="0"/>
          <w:sz w:val="24"/>
          <w:szCs w:val="24"/>
          <w:highlight w:val="none"/>
        </w:rPr>
        <w:t>60</w:t>
      </w:r>
      <w:r>
        <w:rPr>
          <w:rFonts w:hint="eastAsia" w:ascii="宋体" w:hAnsi="宋体" w:cs="宋体"/>
          <w:kern w:val="0"/>
          <w:sz w:val="24"/>
          <w:szCs w:val="24"/>
          <w:highlight w:val="none"/>
          <w:lang w:val="zh-CN"/>
        </w:rPr>
        <w:t>%。（2）全部项目工程竣工验收合格支付到服务费总额的80%，待结算审核后，按工程结算总价付至服务费的97%，余款3%作为质量保证金在缺陷责任期满后付清。如承包人采用保函或保证保险等方式提交等额工程质量保证金，则在工程竣工结算审计完成后付至最终结算审核价款的100%。（注：合同价款以本项目施工成交价作为基数×成交费率，最终服务费用=工程最终结算审核结束后实际结算总价款×成交费率）。</w:t>
      </w:r>
    </w:p>
    <w:p w14:paraId="587D85F2">
      <w:pPr>
        <w:spacing w:line="550" w:lineRule="exact"/>
        <w:ind w:firstLine="482" w:firstLineChars="201"/>
        <w:jc w:val="left"/>
        <w:rPr>
          <w:rFonts w:hint="eastAsia" w:ascii="宋体" w:hAnsi="宋体" w:cs="宋体"/>
          <w:kern w:val="0"/>
          <w:sz w:val="24"/>
          <w:szCs w:val="24"/>
          <w:highlight w:val="none"/>
        </w:rPr>
      </w:pPr>
      <w:r>
        <w:rPr>
          <w:rFonts w:hint="eastAsia" w:ascii="宋体" w:hAnsi="宋体" w:cs="宋体"/>
          <w:kern w:val="0"/>
          <w:sz w:val="24"/>
          <w:szCs w:val="24"/>
          <w:highlight w:val="none"/>
        </w:rPr>
        <w:t>2.1 履约保证金：成交价款的2.5%，以现金（电汇、转账）或银行保函形式）缴纳。</w:t>
      </w:r>
    </w:p>
    <w:p w14:paraId="62888501">
      <w:pPr>
        <w:adjustRightInd w:val="0"/>
        <w:snapToGrid w:val="0"/>
        <w:spacing w:line="550" w:lineRule="exact"/>
        <w:ind w:firstLine="475" w:firstLineChars="198"/>
        <w:jc w:val="left"/>
        <w:rPr>
          <w:rFonts w:hint="eastAsia" w:ascii="宋体" w:hAnsi="宋体" w:cs="宋体"/>
          <w:kern w:val="0"/>
          <w:sz w:val="24"/>
          <w:szCs w:val="24"/>
          <w:highlight w:val="none"/>
        </w:rPr>
      </w:pPr>
      <w:r>
        <w:rPr>
          <w:rFonts w:hint="eastAsia" w:ascii="宋体" w:hAnsi="宋体" w:cs="宋体"/>
          <w:kern w:val="0"/>
          <w:sz w:val="24"/>
          <w:szCs w:val="24"/>
          <w:highlight w:val="none"/>
        </w:rPr>
        <w:t>注：响应人应在合同签订前将履约保证金汇入采购人指定账户，否则取消成交资格。</w:t>
      </w:r>
    </w:p>
    <w:p w14:paraId="2A636D61">
      <w:pPr>
        <w:spacing w:line="55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2.2 以银行保函的形式缴纳履约保证金的，银行保函有效期同施工期。若在未达到履约保证金退还条件时银行保函失效，乙方无条件同意甲方从合同约定的应付款项中直接扣除相应的金额转为履约保证金。</w:t>
      </w:r>
    </w:p>
    <w:p w14:paraId="4367D8F0">
      <w:pPr>
        <w:adjustRightInd w:val="0"/>
        <w:snapToGrid w:val="0"/>
        <w:spacing w:line="550" w:lineRule="exact"/>
        <w:ind w:firstLine="475" w:firstLineChars="198"/>
        <w:rPr>
          <w:rFonts w:hint="eastAsia" w:ascii="宋体" w:hAnsi="宋体" w:cs="宋体"/>
          <w:sz w:val="24"/>
          <w:szCs w:val="24"/>
          <w:highlight w:val="none"/>
        </w:rPr>
      </w:pPr>
      <w:r>
        <w:rPr>
          <w:rFonts w:hint="eastAsia" w:ascii="宋体" w:hAnsi="宋体" w:cs="宋体"/>
          <w:sz w:val="24"/>
          <w:szCs w:val="24"/>
          <w:highlight w:val="none"/>
        </w:rPr>
        <w:t>2.3履约保证金退还条件、时间和不予退还的情形：竣工验收合格、竣工资料移交后退还全部履约保证金（违约扣除部分除外，均不计息）；供应商拒绝履行合同义务的，不予退还履约保证金。</w:t>
      </w:r>
    </w:p>
    <w:p w14:paraId="01FA3998">
      <w:pPr>
        <w:autoSpaceDE w:val="0"/>
        <w:autoSpaceDN w:val="0"/>
        <w:adjustRightInd w:val="0"/>
        <w:spacing w:line="55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zh-CN"/>
        </w:rPr>
        <w:t>合同争议处理：采购合同在履行过程中发生的争议，由双方当事人协商解决，协商解决不成的，提交</w:t>
      </w:r>
      <w:r>
        <w:rPr>
          <w:rFonts w:hint="eastAsia" w:ascii="宋体" w:hAnsi="宋体" w:cs="宋体"/>
          <w:kern w:val="0"/>
          <w:sz w:val="24"/>
          <w:szCs w:val="24"/>
          <w:highlight w:val="none"/>
        </w:rPr>
        <w:t>郎溪县人民</w:t>
      </w:r>
      <w:r>
        <w:rPr>
          <w:rFonts w:hint="eastAsia" w:ascii="宋体" w:hAnsi="宋体" w:cs="宋体"/>
          <w:kern w:val="0"/>
          <w:sz w:val="24"/>
          <w:szCs w:val="24"/>
          <w:highlight w:val="none"/>
          <w:lang w:val="zh-CN"/>
        </w:rPr>
        <w:t>法院</w:t>
      </w:r>
      <w:r>
        <w:rPr>
          <w:rFonts w:hint="eastAsia" w:ascii="宋体" w:hAnsi="宋体" w:cs="宋体"/>
          <w:kern w:val="0"/>
          <w:sz w:val="24"/>
          <w:szCs w:val="24"/>
          <w:highlight w:val="none"/>
        </w:rPr>
        <w:t>诉讼</w:t>
      </w:r>
      <w:r>
        <w:rPr>
          <w:rFonts w:hint="eastAsia" w:ascii="宋体" w:hAnsi="宋体" w:cs="宋体"/>
          <w:kern w:val="0"/>
          <w:sz w:val="24"/>
          <w:szCs w:val="24"/>
          <w:highlight w:val="none"/>
          <w:lang w:val="zh-CN"/>
        </w:rPr>
        <w:t>。</w:t>
      </w:r>
      <w:bookmarkEnd w:id="0"/>
      <w:bookmarkStart w:id="23" w:name="_Toc272141472"/>
      <w:bookmarkStart w:id="24" w:name="_Toc351103052"/>
    </w:p>
    <w:p w14:paraId="77803DDA">
      <w:pPr>
        <w:autoSpaceDE w:val="0"/>
        <w:autoSpaceDN w:val="0"/>
        <w:adjustRightInd w:val="0"/>
        <w:spacing w:line="550" w:lineRule="exact"/>
        <w:rPr>
          <w:rFonts w:hint="eastAsia" w:ascii="宋体" w:hAnsi="宋体" w:cs="宋体"/>
          <w:b/>
          <w:bCs/>
          <w:kern w:val="0"/>
          <w:sz w:val="24"/>
          <w:szCs w:val="24"/>
          <w:highlight w:val="none"/>
        </w:rPr>
      </w:pPr>
      <w:r>
        <w:rPr>
          <w:rFonts w:hint="eastAsia" w:ascii="宋体" w:hAnsi="宋体" w:cs="宋体"/>
          <w:b/>
          <w:bCs/>
          <w:kern w:val="0"/>
          <w:sz w:val="24"/>
          <w:szCs w:val="24"/>
          <w:highlight w:val="none"/>
          <w:lang w:val="zh-CN"/>
        </w:rPr>
        <w:t>（</w:t>
      </w:r>
      <w:r>
        <w:rPr>
          <w:rFonts w:hint="eastAsia" w:ascii="宋体" w:hAnsi="宋体" w:cs="宋体"/>
          <w:b/>
          <w:bCs/>
          <w:kern w:val="0"/>
          <w:sz w:val="24"/>
          <w:szCs w:val="24"/>
          <w:highlight w:val="none"/>
        </w:rPr>
        <w:t>五</w:t>
      </w:r>
      <w:r>
        <w:rPr>
          <w:rFonts w:hint="eastAsia" w:ascii="宋体" w:hAnsi="宋体" w:cs="宋体"/>
          <w:b/>
          <w:bCs/>
          <w:kern w:val="0"/>
          <w:sz w:val="24"/>
          <w:szCs w:val="24"/>
          <w:highlight w:val="none"/>
          <w:lang w:val="zh-CN"/>
        </w:rPr>
        <w:t>）其他要求</w:t>
      </w:r>
      <w:r>
        <w:rPr>
          <w:rFonts w:hint="eastAsia" w:ascii="宋体" w:hAnsi="宋体" w:cs="宋体"/>
          <w:kern w:val="0"/>
          <w:sz w:val="24"/>
          <w:szCs w:val="24"/>
          <w:highlight w:val="none"/>
          <w:lang w:val="zh-CN"/>
        </w:rPr>
        <w:t>：本项目所有子项工程，监理单位无条件配合办理施工许可等相关事项，包括但不限于增加必备的专业监理工程师。</w:t>
      </w:r>
    </w:p>
    <w:p w14:paraId="0DD1D8E6">
      <w:pPr>
        <w:autoSpaceDE w:val="0"/>
        <w:autoSpaceDN w:val="0"/>
        <w:adjustRightInd w:val="0"/>
        <w:spacing w:line="550" w:lineRule="exact"/>
        <w:ind w:firstLine="480" w:firstLineChars="200"/>
        <w:rPr>
          <w:rFonts w:hint="eastAsia" w:ascii="宋体" w:hAnsi="宋体" w:cs="宋体"/>
          <w:kern w:val="0"/>
          <w:sz w:val="24"/>
          <w:szCs w:val="24"/>
          <w:highlight w:val="none"/>
          <w:lang w:val="zh-CN"/>
        </w:rPr>
      </w:pPr>
    </w:p>
    <w:p w14:paraId="467AADF8">
      <w:pPr>
        <w:spacing w:line="550" w:lineRule="exact"/>
        <w:rPr>
          <w:highlight w:val="none"/>
        </w:rPr>
      </w:pPr>
      <w:r>
        <w:rPr>
          <w:rFonts w:hint="eastAsia"/>
          <w:highlight w:val="none"/>
        </w:rPr>
        <w:br w:type="page"/>
      </w:r>
    </w:p>
    <w:p w14:paraId="6B70E8B2">
      <w:pPr>
        <w:spacing w:line="550" w:lineRule="exact"/>
        <w:rPr>
          <w:highlight w:val="none"/>
        </w:rPr>
        <w:sectPr>
          <w:headerReference r:id="rId3" w:type="default"/>
          <w:footerReference r:id="rId4" w:type="default"/>
          <w:pgSz w:w="12240" w:h="15840"/>
          <w:pgMar w:top="1440" w:right="1800" w:bottom="1440" w:left="1800" w:header="850" w:footer="850" w:gutter="0"/>
          <w:cols w:space="720" w:num="1"/>
        </w:sectPr>
      </w:pPr>
    </w:p>
    <w:p w14:paraId="659BDA31">
      <w:pPr>
        <w:spacing w:line="360" w:lineRule="auto"/>
        <w:jc w:val="center"/>
        <w:rPr>
          <w:b/>
          <w:bCs/>
          <w:sz w:val="28"/>
          <w:szCs w:val="28"/>
          <w:highlight w:val="none"/>
        </w:rPr>
      </w:pPr>
      <w:r>
        <w:rPr>
          <w:rStyle w:val="54"/>
          <w:rFonts w:hint="eastAsia"/>
          <w:b/>
          <w:bCs/>
          <w:highlight w:val="none"/>
        </w:rPr>
        <w:t>五、磋商与评审</w:t>
      </w:r>
    </w:p>
    <w:p w14:paraId="270E6870">
      <w:pPr>
        <w:autoSpaceDE w:val="0"/>
        <w:autoSpaceDN w:val="0"/>
        <w:adjustRightInd w:val="0"/>
        <w:spacing w:line="540" w:lineRule="atLeast"/>
        <w:rPr>
          <w:rFonts w:ascii="宋体" w:hAnsi="Arial" w:cs="宋体"/>
          <w:b/>
          <w:kern w:val="0"/>
          <w:sz w:val="24"/>
          <w:szCs w:val="24"/>
          <w:highlight w:val="none"/>
          <w:lang w:val="zh-CN"/>
        </w:rPr>
      </w:pPr>
      <w:r>
        <w:rPr>
          <w:rFonts w:hint="eastAsia" w:ascii="宋体" w:hAnsi="Arial" w:cs="宋体"/>
          <w:b/>
          <w:kern w:val="0"/>
          <w:sz w:val="24"/>
          <w:szCs w:val="24"/>
          <w:highlight w:val="none"/>
          <w:lang w:val="zh-CN"/>
        </w:rPr>
        <w:t>一、 总 则</w:t>
      </w:r>
    </w:p>
    <w:p w14:paraId="6EC953F8">
      <w:pPr>
        <w:autoSpaceDE w:val="0"/>
        <w:autoSpaceDN w:val="0"/>
        <w:adjustRightInd w:val="0"/>
        <w:spacing w:line="540" w:lineRule="atLeast"/>
        <w:rPr>
          <w:rFonts w:ascii="宋体" w:hAnsi="Arial" w:cs="宋体"/>
          <w:kern w:val="0"/>
          <w:sz w:val="24"/>
          <w:szCs w:val="24"/>
          <w:highlight w:val="none"/>
          <w:lang w:val="zh-CN"/>
        </w:rPr>
      </w:pPr>
      <w:r>
        <w:rPr>
          <w:rFonts w:hint="eastAsia" w:ascii="宋体" w:hAnsi="Arial" w:cs="宋体"/>
          <w:kern w:val="0"/>
          <w:sz w:val="24"/>
          <w:szCs w:val="24"/>
          <w:highlight w:val="none"/>
          <w:lang w:val="zh-CN"/>
        </w:rPr>
        <w:t>1、为规范评审活动，保证评审的公平、公正，维护磋商当事人的合法权益，依照相关法律、法规制定本评审办法；</w:t>
      </w:r>
    </w:p>
    <w:p w14:paraId="3CA755A4">
      <w:pPr>
        <w:autoSpaceDE w:val="0"/>
        <w:autoSpaceDN w:val="0"/>
        <w:adjustRightInd w:val="0"/>
        <w:spacing w:line="540" w:lineRule="atLeast"/>
        <w:rPr>
          <w:rFonts w:ascii="宋体" w:hAnsi="Arial" w:cs="宋体"/>
          <w:kern w:val="0"/>
          <w:sz w:val="24"/>
          <w:szCs w:val="24"/>
          <w:highlight w:val="none"/>
          <w:lang w:val="zh-CN"/>
        </w:rPr>
      </w:pPr>
      <w:r>
        <w:rPr>
          <w:rFonts w:hint="eastAsia" w:ascii="宋体" w:hAnsi="Arial" w:cs="宋体"/>
          <w:kern w:val="0"/>
          <w:sz w:val="24"/>
          <w:szCs w:val="24"/>
          <w:highlight w:val="none"/>
          <w:lang w:val="zh-CN"/>
        </w:rPr>
        <w:t>2、本办法仅适用于本次采购项目的评审活动；</w:t>
      </w:r>
    </w:p>
    <w:p w14:paraId="7A8D5ADA">
      <w:pPr>
        <w:autoSpaceDE w:val="0"/>
        <w:autoSpaceDN w:val="0"/>
        <w:adjustRightInd w:val="0"/>
        <w:spacing w:line="540" w:lineRule="atLeast"/>
        <w:rPr>
          <w:rFonts w:ascii="宋体" w:hAnsi="Arial" w:cs="宋体"/>
          <w:kern w:val="0"/>
          <w:sz w:val="24"/>
          <w:szCs w:val="24"/>
          <w:highlight w:val="none"/>
          <w:lang w:val="zh-CN"/>
        </w:rPr>
      </w:pPr>
      <w:r>
        <w:rPr>
          <w:rFonts w:hint="eastAsia" w:ascii="宋体" w:hAnsi="Arial" w:cs="宋体"/>
          <w:kern w:val="0"/>
          <w:sz w:val="24"/>
          <w:szCs w:val="24"/>
          <w:highlight w:val="none"/>
          <w:lang w:val="zh-CN"/>
        </w:rPr>
        <w:t>3、评审活动遵循公平、公正、科学、择优的原则；</w:t>
      </w:r>
    </w:p>
    <w:p w14:paraId="1BE35B14">
      <w:pPr>
        <w:autoSpaceDE w:val="0"/>
        <w:autoSpaceDN w:val="0"/>
        <w:adjustRightInd w:val="0"/>
        <w:spacing w:line="540" w:lineRule="atLeast"/>
        <w:rPr>
          <w:rFonts w:ascii="宋体" w:hAnsi="Arial" w:cs="宋体"/>
          <w:kern w:val="0"/>
          <w:sz w:val="24"/>
          <w:szCs w:val="24"/>
          <w:highlight w:val="none"/>
          <w:lang w:val="zh-CN"/>
        </w:rPr>
      </w:pPr>
      <w:r>
        <w:rPr>
          <w:rFonts w:hint="eastAsia" w:ascii="宋体" w:hAnsi="Arial" w:cs="宋体"/>
          <w:kern w:val="0"/>
          <w:sz w:val="24"/>
          <w:szCs w:val="24"/>
          <w:highlight w:val="none"/>
          <w:lang w:val="zh-CN"/>
        </w:rPr>
        <w:t xml:space="preserve">4、评审活动依法进行，任何单位和个人不得非法干预或者影响评审过程和结果； </w:t>
      </w:r>
    </w:p>
    <w:p w14:paraId="7C29C7BB">
      <w:pPr>
        <w:autoSpaceDE w:val="0"/>
        <w:autoSpaceDN w:val="0"/>
        <w:adjustRightInd w:val="0"/>
        <w:spacing w:line="540" w:lineRule="atLeast"/>
        <w:rPr>
          <w:rFonts w:ascii="宋体" w:hAnsi="Arial" w:cs="宋体"/>
          <w:kern w:val="0"/>
          <w:sz w:val="24"/>
          <w:szCs w:val="24"/>
          <w:highlight w:val="none"/>
          <w:lang w:val="zh-CN"/>
        </w:rPr>
      </w:pPr>
      <w:r>
        <w:rPr>
          <w:rFonts w:hint="eastAsia" w:ascii="宋体" w:hAnsi="Arial" w:cs="宋体"/>
          <w:kern w:val="0"/>
          <w:sz w:val="24"/>
          <w:szCs w:val="24"/>
          <w:highlight w:val="none"/>
          <w:lang w:val="zh-CN"/>
        </w:rPr>
        <w:t xml:space="preserve">5、评审活动在严格保密的情况下进行； </w:t>
      </w:r>
    </w:p>
    <w:p w14:paraId="69E05D59">
      <w:pPr>
        <w:autoSpaceDE w:val="0"/>
        <w:autoSpaceDN w:val="0"/>
        <w:adjustRightInd w:val="0"/>
        <w:spacing w:line="540" w:lineRule="atLeast"/>
        <w:rPr>
          <w:rFonts w:ascii="宋体" w:hAnsi="Arial" w:cs="宋体"/>
          <w:kern w:val="0"/>
          <w:sz w:val="24"/>
          <w:szCs w:val="24"/>
          <w:highlight w:val="none"/>
          <w:lang w:val="zh-CN"/>
        </w:rPr>
      </w:pPr>
      <w:r>
        <w:rPr>
          <w:rFonts w:hint="eastAsia" w:ascii="宋体" w:hAnsi="Arial" w:cs="宋体"/>
          <w:kern w:val="0"/>
          <w:sz w:val="24"/>
          <w:szCs w:val="24"/>
          <w:highlight w:val="none"/>
          <w:lang w:val="zh-CN"/>
        </w:rPr>
        <w:t>6、评审活动及其当事人应当接受监督管理部门的监督。</w:t>
      </w:r>
    </w:p>
    <w:p w14:paraId="5F6A0874">
      <w:pPr>
        <w:autoSpaceDE w:val="0"/>
        <w:autoSpaceDN w:val="0"/>
        <w:adjustRightInd w:val="0"/>
        <w:spacing w:line="540" w:lineRule="atLeast"/>
        <w:rPr>
          <w:rFonts w:ascii="宋体" w:hAnsi="Arial" w:cs="宋体"/>
          <w:b/>
          <w:kern w:val="0"/>
          <w:sz w:val="24"/>
          <w:szCs w:val="24"/>
          <w:highlight w:val="none"/>
          <w:lang w:val="zh-CN"/>
        </w:rPr>
      </w:pPr>
      <w:r>
        <w:rPr>
          <w:rFonts w:hint="eastAsia" w:ascii="宋体" w:hAnsi="Arial" w:cs="宋体"/>
          <w:b/>
          <w:kern w:val="0"/>
          <w:sz w:val="24"/>
          <w:szCs w:val="24"/>
          <w:highlight w:val="none"/>
          <w:lang w:val="zh-CN"/>
        </w:rPr>
        <w:t>二、评审委员会的组建</w:t>
      </w:r>
    </w:p>
    <w:p w14:paraId="01D34447">
      <w:pPr>
        <w:autoSpaceDE w:val="0"/>
        <w:autoSpaceDN w:val="0"/>
        <w:adjustRightInd w:val="0"/>
        <w:spacing w:line="540" w:lineRule="atLeast"/>
        <w:rPr>
          <w:rFonts w:ascii="宋体" w:hAnsi="Arial" w:cs="宋体"/>
          <w:kern w:val="0"/>
          <w:sz w:val="24"/>
          <w:szCs w:val="24"/>
          <w:highlight w:val="none"/>
          <w:lang w:val="zh-CN"/>
        </w:rPr>
      </w:pPr>
      <w:r>
        <w:rPr>
          <w:rFonts w:hint="eastAsia" w:ascii="宋体" w:hAnsi="Arial" w:cs="宋体"/>
          <w:kern w:val="0"/>
          <w:sz w:val="24"/>
          <w:szCs w:val="24"/>
          <w:highlight w:val="none"/>
        </w:rPr>
        <w:t>1</w:t>
      </w:r>
      <w:r>
        <w:rPr>
          <w:rFonts w:hint="eastAsia" w:ascii="宋体" w:hAnsi="Arial" w:cs="宋体"/>
          <w:kern w:val="0"/>
          <w:sz w:val="24"/>
          <w:szCs w:val="24"/>
          <w:highlight w:val="none"/>
          <w:lang w:val="zh-CN"/>
        </w:rPr>
        <w:t>、</w:t>
      </w:r>
      <w:r>
        <w:rPr>
          <w:rFonts w:hint="eastAsia" w:ascii="宋体" w:hAnsi="宋体" w:cs="Arial"/>
          <w:sz w:val="24"/>
          <w:szCs w:val="24"/>
          <w:highlight w:val="none"/>
        </w:rPr>
        <w:t>评审工作由磋商小组进行，磋商小组由采购人代表和评审专家共3人以上单数组成，</w:t>
      </w:r>
      <w:r>
        <w:rPr>
          <w:rFonts w:hint="eastAsia" w:ascii="宋体" w:hAnsi="Arial" w:cs="宋体"/>
          <w:kern w:val="0"/>
          <w:sz w:val="24"/>
          <w:szCs w:val="24"/>
          <w:highlight w:val="none"/>
          <w:lang w:val="zh-CN"/>
        </w:rPr>
        <w:t>其中评审专家不得少于成员总数的三分之二，评审专家由采购人依法通过随机抽取的方式确定。</w:t>
      </w:r>
    </w:p>
    <w:p w14:paraId="20EF0E1E">
      <w:pPr>
        <w:autoSpaceDE w:val="0"/>
        <w:autoSpaceDN w:val="0"/>
        <w:adjustRightInd w:val="0"/>
        <w:spacing w:line="540" w:lineRule="atLeast"/>
        <w:rPr>
          <w:rFonts w:ascii="宋体" w:hAnsi="Arial" w:cs="宋体"/>
          <w:kern w:val="0"/>
          <w:sz w:val="24"/>
          <w:szCs w:val="24"/>
          <w:highlight w:val="none"/>
          <w:lang w:val="zh-CN"/>
        </w:rPr>
      </w:pPr>
      <w:r>
        <w:rPr>
          <w:rFonts w:hint="eastAsia" w:ascii="宋体" w:hAnsi="Arial" w:cs="宋体"/>
          <w:kern w:val="0"/>
          <w:sz w:val="24"/>
          <w:szCs w:val="24"/>
          <w:highlight w:val="none"/>
        </w:rPr>
        <w:t>2</w:t>
      </w:r>
      <w:r>
        <w:rPr>
          <w:rFonts w:hint="eastAsia" w:ascii="宋体" w:hAnsi="Arial" w:cs="宋体"/>
          <w:kern w:val="0"/>
          <w:sz w:val="24"/>
          <w:szCs w:val="24"/>
          <w:highlight w:val="none"/>
          <w:lang w:val="zh-CN"/>
        </w:rPr>
        <w:t>、根据项目特点和评审中遇到的特殊情况，按照法律、法规的规定。</w:t>
      </w:r>
    </w:p>
    <w:p w14:paraId="0DFD62D4">
      <w:pPr>
        <w:autoSpaceDE w:val="0"/>
        <w:autoSpaceDN w:val="0"/>
        <w:adjustRightInd w:val="0"/>
        <w:spacing w:line="540" w:lineRule="atLeast"/>
        <w:rPr>
          <w:rFonts w:ascii="宋体" w:hAnsi="Arial" w:cs="宋体"/>
          <w:b/>
          <w:kern w:val="0"/>
          <w:sz w:val="24"/>
          <w:szCs w:val="24"/>
          <w:highlight w:val="none"/>
          <w:lang w:val="zh-CN"/>
        </w:rPr>
      </w:pPr>
      <w:r>
        <w:rPr>
          <w:rFonts w:hint="eastAsia" w:ascii="宋体" w:hAnsi="Arial" w:cs="宋体"/>
          <w:b/>
          <w:kern w:val="0"/>
          <w:sz w:val="24"/>
          <w:szCs w:val="24"/>
          <w:highlight w:val="none"/>
          <w:lang w:val="zh-CN"/>
        </w:rPr>
        <w:t>三、评审方法</w:t>
      </w:r>
    </w:p>
    <w:p w14:paraId="4CC525E6">
      <w:pPr>
        <w:autoSpaceDE w:val="0"/>
        <w:autoSpaceDN w:val="0"/>
        <w:adjustRightInd w:val="0"/>
        <w:spacing w:line="540" w:lineRule="atLeast"/>
        <w:ind w:firstLine="480" w:firstLineChars="200"/>
        <w:rPr>
          <w:rFonts w:ascii="宋体" w:hAnsi="Arial" w:cs="宋体"/>
          <w:b/>
          <w:kern w:val="0"/>
          <w:sz w:val="24"/>
          <w:szCs w:val="24"/>
          <w:highlight w:val="none"/>
          <w:lang w:val="zh-CN"/>
        </w:rPr>
      </w:pPr>
      <w:r>
        <w:rPr>
          <w:rFonts w:hint="eastAsia" w:ascii="宋体" w:hAnsi="Arial" w:cs="宋体"/>
          <w:bCs/>
          <w:kern w:val="0"/>
          <w:sz w:val="24"/>
          <w:szCs w:val="24"/>
          <w:highlight w:val="none"/>
        </w:rPr>
        <w:t>本项目采用</w:t>
      </w:r>
      <w:r>
        <w:rPr>
          <w:rFonts w:hint="eastAsia" w:ascii="宋体" w:hAnsi="Arial" w:cs="宋体"/>
          <w:b/>
          <w:kern w:val="0"/>
          <w:sz w:val="24"/>
          <w:szCs w:val="24"/>
          <w:highlight w:val="none"/>
          <w:lang w:val="zh-CN"/>
        </w:rPr>
        <w:t>综合评分法。</w:t>
      </w:r>
      <w:r>
        <w:rPr>
          <w:rFonts w:hint="eastAsia" w:ascii="宋体" w:hAnsi="Arial" w:cs="宋体"/>
          <w:bCs/>
          <w:kern w:val="0"/>
          <w:sz w:val="24"/>
          <w:szCs w:val="24"/>
          <w:highlight w:val="none"/>
          <w:lang w:val="zh-CN"/>
        </w:rPr>
        <w:t>综合评分法是指响应文件满足磋商文件全部实质性要求且按评审因素的量化指标评审得分最高的供应商为成交候选供应商的评审方法。</w:t>
      </w:r>
    </w:p>
    <w:p w14:paraId="424BBBF3">
      <w:pPr>
        <w:autoSpaceDE w:val="0"/>
        <w:autoSpaceDN w:val="0"/>
        <w:adjustRightInd w:val="0"/>
        <w:spacing w:line="540" w:lineRule="atLeast"/>
        <w:rPr>
          <w:rFonts w:ascii="宋体" w:hAnsi="Arial" w:cs="宋体"/>
          <w:b/>
          <w:kern w:val="0"/>
          <w:sz w:val="24"/>
          <w:szCs w:val="24"/>
          <w:highlight w:val="none"/>
          <w:lang w:val="zh-CN"/>
        </w:rPr>
      </w:pPr>
      <w:r>
        <w:rPr>
          <w:rFonts w:hint="eastAsia" w:ascii="宋体" w:hAnsi="Arial" w:cs="宋体"/>
          <w:b/>
          <w:kern w:val="0"/>
          <w:sz w:val="24"/>
          <w:szCs w:val="24"/>
          <w:highlight w:val="none"/>
          <w:lang w:val="zh-CN"/>
        </w:rPr>
        <w:t>四、评审程序</w:t>
      </w:r>
    </w:p>
    <w:p w14:paraId="6E76397C">
      <w:pPr>
        <w:autoSpaceDE w:val="0"/>
        <w:autoSpaceDN w:val="0"/>
        <w:adjustRightInd w:val="0"/>
        <w:spacing w:line="540" w:lineRule="atLeast"/>
        <w:rPr>
          <w:rFonts w:ascii="宋体" w:hAnsi="Arial" w:cs="宋体"/>
          <w:kern w:val="0"/>
          <w:sz w:val="24"/>
          <w:szCs w:val="24"/>
          <w:highlight w:val="none"/>
        </w:rPr>
      </w:pPr>
      <w:r>
        <w:rPr>
          <w:rFonts w:hint="eastAsia" w:ascii="宋体" w:hAnsi="Arial" w:cs="宋体"/>
          <w:kern w:val="0"/>
          <w:sz w:val="24"/>
          <w:szCs w:val="24"/>
          <w:highlight w:val="none"/>
        </w:rPr>
        <w:t>1、采购人可以在评审前说明项目背景和采购需求，说明内容不得含有歧视性、倾向性意见，不得超出磋商文件所述范围。</w:t>
      </w:r>
    </w:p>
    <w:p w14:paraId="48882C94">
      <w:pPr>
        <w:autoSpaceDE w:val="0"/>
        <w:autoSpaceDN w:val="0"/>
        <w:adjustRightInd w:val="0"/>
        <w:spacing w:line="540" w:lineRule="atLeast"/>
        <w:rPr>
          <w:rFonts w:ascii="宋体" w:hAnsi="Arial" w:cs="宋体"/>
          <w:kern w:val="0"/>
          <w:sz w:val="24"/>
          <w:szCs w:val="24"/>
          <w:highlight w:val="none"/>
        </w:rPr>
      </w:pPr>
      <w:r>
        <w:rPr>
          <w:rFonts w:hint="eastAsia" w:ascii="宋体" w:hAnsi="Arial" w:cs="宋体"/>
          <w:kern w:val="0"/>
          <w:sz w:val="24"/>
          <w:szCs w:val="24"/>
          <w:highlight w:val="none"/>
        </w:rPr>
        <w:t>2、</w:t>
      </w:r>
      <w:r>
        <w:rPr>
          <w:rFonts w:hint="eastAsia" w:ascii="宋体" w:hAnsi="Arial" w:cs="宋体"/>
          <w:b/>
          <w:bCs/>
          <w:kern w:val="0"/>
          <w:sz w:val="24"/>
          <w:szCs w:val="24"/>
          <w:highlight w:val="none"/>
        </w:rPr>
        <w:t>初审。</w:t>
      </w:r>
      <w:r>
        <w:rPr>
          <w:rFonts w:hint="eastAsia" w:ascii="宋体" w:hAnsi="Arial" w:cs="宋体"/>
          <w:kern w:val="0"/>
          <w:sz w:val="24"/>
          <w:szCs w:val="24"/>
          <w:highlight w:val="none"/>
        </w:rPr>
        <w:t>磋商小组对所有供应商响应文件进行初审；</w:t>
      </w:r>
    </w:p>
    <w:p w14:paraId="2B22FE36">
      <w:pPr>
        <w:autoSpaceDE w:val="0"/>
        <w:autoSpaceDN w:val="0"/>
        <w:adjustRightInd w:val="0"/>
        <w:spacing w:line="540" w:lineRule="atLeast"/>
        <w:rPr>
          <w:rFonts w:ascii="宋体" w:hAnsi="Arial" w:cs="宋体"/>
          <w:kern w:val="0"/>
          <w:sz w:val="24"/>
          <w:szCs w:val="24"/>
          <w:highlight w:val="none"/>
        </w:rPr>
      </w:pPr>
      <w:r>
        <w:rPr>
          <w:rFonts w:hint="eastAsia" w:ascii="宋体" w:hAnsi="Arial" w:cs="宋体"/>
          <w:kern w:val="0"/>
          <w:sz w:val="24"/>
          <w:szCs w:val="24"/>
          <w:highlight w:val="none"/>
        </w:rPr>
        <w:t>3、</w:t>
      </w:r>
      <w:r>
        <w:rPr>
          <w:rFonts w:hint="eastAsia" w:ascii="宋体" w:hAnsi="Arial" w:cs="宋体"/>
          <w:b/>
          <w:bCs/>
          <w:kern w:val="0"/>
          <w:sz w:val="24"/>
          <w:szCs w:val="24"/>
          <w:highlight w:val="none"/>
        </w:rPr>
        <w:t>磋商。</w:t>
      </w:r>
      <w:r>
        <w:rPr>
          <w:rFonts w:hint="eastAsia" w:ascii="宋体" w:hAnsi="Arial" w:cs="宋体"/>
          <w:kern w:val="0"/>
          <w:sz w:val="24"/>
          <w:szCs w:val="24"/>
          <w:highlight w:val="none"/>
        </w:rPr>
        <w:t>初审合格后，磋商小组将集中与通过初审的单一供应商分别进行磋商，并给予所有参加磋商的供应商平等的磋商机会。如供应商在接到项目代理机构通知后未参与磋商的，视同放弃该权利。</w:t>
      </w:r>
    </w:p>
    <w:p w14:paraId="787F2C4A">
      <w:pPr>
        <w:autoSpaceDE w:val="0"/>
        <w:autoSpaceDN w:val="0"/>
        <w:adjustRightInd w:val="0"/>
        <w:spacing w:line="540" w:lineRule="atLeast"/>
        <w:rPr>
          <w:rFonts w:ascii="宋体" w:hAnsi="Arial" w:cs="宋体"/>
          <w:kern w:val="0"/>
          <w:sz w:val="24"/>
          <w:szCs w:val="24"/>
          <w:highlight w:val="none"/>
        </w:rPr>
      </w:pPr>
      <w:r>
        <w:rPr>
          <w:rFonts w:hint="eastAsia" w:ascii="宋体" w:hAnsi="Arial" w:cs="宋体"/>
          <w:kern w:val="0"/>
          <w:sz w:val="24"/>
          <w:szCs w:val="24"/>
          <w:highlight w:val="none"/>
        </w:rPr>
        <w:t>4、</w:t>
      </w:r>
      <w:r>
        <w:rPr>
          <w:rFonts w:hint="eastAsia" w:ascii="宋体" w:hAnsi="Arial" w:cs="宋体"/>
          <w:b/>
          <w:bCs/>
          <w:kern w:val="0"/>
          <w:sz w:val="24"/>
          <w:szCs w:val="24"/>
          <w:highlight w:val="none"/>
        </w:rPr>
        <w:t>报价</w:t>
      </w:r>
      <w:r>
        <w:rPr>
          <w:rFonts w:hint="eastAsia" w:ascii="宋体" w:hAnsi="Arial" w:cs="宋体"/>
          <w:kern w:val="0"/>
          <w:sz w:val="24"/>
          <w:szCs w:val="24"/>
          <w:highlight w:val="none"/>
        </w:rPr>
        <w:t>。磋商结束后，磋商小组应当要求所有实质性响应的供应商在规定时间内提交最后报价。</w:t>
      </w:r>
    </w:p>
    <w:p w14:paraId="41D30872">
      <w:pPr>
        <w:autoSpaceDE w:val="0"/>
        <w:autoSpaceDN w:val="0"/>
        <w:adjustRightInd w:val="0"/>
        <w:spacing w:line="540" w:lineRule="atLeast"/>
        <w:rPr>
          <w:rFonts w:ascii="宋体" w:hAnsi="Arial" w:cs="宋体"/>
          <w:kern w:val="0"/>
          <w:sz w:val="24"/>
          <w:szCs w:val="24"/>
          <w:highlight w:val="none"/>
        </w:rPr>
      </w:pPr>
      <w:r>
        <w:rPr>
          <w:rFonts w:hint="eastAsia" w:ascii="宋体" w:hAnsi="Arial" w:cs="宋体"/>
          <w:kern w:val="0"/>
          <w:sz w:val="24"/>
          <w:szCs w:val="24"/>
          <w:highlight w:val="none"/>
        </w:rPr>
        <w:t>5、在提交最后报价之前，供应商可以根据磋商情况退出磋商。</w:t>
      </w:r>
    </w:p>
    <w:p w14:paraId="57F7D71A">
      <w:pPr>
        <w:autoSpaceDE w:val="0"/>
        <w:autoSpaceDN w:val="0"/>
        <w:adjustRightInd w:val="0"/>
        <w:spacing w:line="540" w:lineRule="atLeast"/>
        <w:rPr>
          <w:rFonts w:ascii="宋体" w:hAnsi="Arial" w:cs="宋体"/>
          <w:kern w:val="0"/>
          <w:sz w:val="24"/>
          <w:szCs w:val="24"/>
          <w:highlight w:val="none"/>
        </w:rPr>
      </w:pPr>
      <w:r>
        <w:rPr>
          <w:rFonts w:hint="eastAsia" w:ascii="宋体" w:hAnsi="Arial" w:cs="宋体"/>
          <w:kern w:val="0"/>
          <w:sz w:val="24"/>
          <w:szCs w:val="24"/>
          <w:highlight w:val="none"/>
        </w:rPr>
        <w:t>6、</w:t>
      </w:r>
      <w:r>
        <w:rPr>
          <w:rFonts w:hint="eastAsia" w:ascii="宋体" w:hAnsi="Arial" w:cs="宋体"/>
          <w:b/>
          <w:bCs/>
          <w:kern w:val="0"/>
          <w:sz w:val="24"/>
          <w:szCs w:val="24"/>
          <w:highlight w:val="none"/>
        </w:rPr>
        <w:t>综合评分</w:t>
      </w:r>
      <w:r>
        <w:rPr>
          <w:rFonts w:hint="eastAsia" w:ascii="宋体" w:hAnsi="Arial" w:cs="宋体"/>
          <w:kern w:val="0"/>
          <w:sz w:val="24"/>
          <w:szCs w:val="24"/>
          <w:highlight w:val="none"/>
        </w:rPr>
        <w:t>。经磋商确定最终采购需求和提交最后报价的供应商后，由磋商小组采用综合评分法对提交最后报价的供应商的响应文件和最后报价进行综合评分。</w:t>
      </w:r>
    </w:p>
    <w:p w14:paraId="5A03EA8B">
      <w:pPr>
        <w:autoSpaceDE w:val="0"/>
        <w:autoSpaceDN w:val="0"/>
        <w:adjustRightInd w:val="0"/>
        <w:spacing w:line="540" w:lineRule="atLeast"/>
        <w:rPr>
          <w:rFonts w:ascii="宋体" w:hAnsi="Arial" w:cs="宋体"/>
          <w:kern w:val="0"/>
          <w:sz w:val="24"/>
          <w:szCs w:val="24"/>
          <w:highlight w:val="none"/>
        </w:rPr>
      </w:pPr>
      <w:r>
        <w:rPr>
          <w:rFonts w:hint="eastAsia" w:ascii="宋体" w:hAnsi="Arial" w:cs="宋体"/>
          <w:kern w:val="0"/>
          <w:sz w:val="24"/>
          <w:szCs w:val="24"/>
          <w:highlight w:val="none"/>
        </w:rPr>
        <w:t>7、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349B820">
      <w:pPr>
        <w:autoSpaceDE w:val="0"/>
        <w:autoSpaceDN w:val="0"/>
        <w:adjustRightInd w:val="0"/>
        <w:spacing w:line="540" w:lineRule="atLeast"/>
        <w:rPr>
          <w:rFonts w:hint="eastAsia" w:ascii="仿宋" w:hAnsi="仿宋" w:eastAsia="仿宋" w:cs="仿宋"/>
          <w:sz w:val="24"/>
          <w:szCs w:val="24"/>
          <w:highlight w:val="none"/>
        </w:rPr>
      </w:pPr>
      <w:r>
        <w:rPr>
          <w:rFonts w:hint="eastAsia" w:ascii="宋体" w:hAnsi="Arial" w:cs="宋体"/>
          <w:kern w:val="0"/>
          <w:sz w:val="24"/>
          <w:szCs w:val="24"/>
          <w:highlight w:val="none"/>
        </w:rPr>
        <w:t>8、</w:t>
      </w:r>
      <w:r>
        <w:rPr>
          <w:rFonts w:hint="eastAsia"/>
          <w:sz w:val="24"/>
          <w:szCs w:val="24"/>
          <w:highlight w:val="none"/>
        </w:rPr>
        <w:t xml:space="preserve"> 磋商并不限定只进行二轮报价，如果磋商小组认为有必要，可以要求供应商进行多轮报价。</w:t>
      </w:r>
      <w:r>
        <w:rPr>
          <w:rFonts w:hint="eastAsia" w:ascii="宋体" w:hAnsi="Arial" w:cs="宋体"/>
          <w:kern w:val="0"/>
          <w:sz w:val="24"/>
          <w:szCs w:val="24"/>
          <w:highlight w:val="none"/>
        </w:rPr>
        <w:t>磋商结束后，要求所有继续参加磋商的供应商在规定时间内以书面形式提交最终报价；在磋商内容不做实质性变更或重大调整的前提下，供应商下轮报价不得高于上一轮报价，否则视该供应商所有轮次报价均为无效报价，报价部分评审不得分。</w:t>
      </w:r>
    </w:p>
    <w:p w14:paraId="1E299777">
      <w:pPr>
        <w:autoSpaceDE w:val="0"/>
        <w:autoSpaceDN w:val="0"/>
        <w:adjustRightInd w:val="0"/>
        <w:spacing w:line="540" w:lineRule="atLeast"/>
        <w:rPr>
          <w:rFonts w:ascii="宋体" w:hAnsi="Arial" w:cs="宋体"/>
          <w:kern w:val="0"/>
          <w:sz w:val="24"/>
          <w:szCs w:val="24"/>
          <w:highlight w:val="none"/>
        </w:rPr>
      </w:pPr>
      <w:r>
        <w:rPr>
          <w:rFonts w:hint="eastAsia" w:ascii="宋体" w:hAnsi="Arial" w:cs="宋体"/>
          <w:kern w:val="0"/>
          <w:sz w:val="24"/>
          <w:szCs w:val="24"/>
          <w:highlight w:val="none"/>
        </w:rPr>
        <w:t>9、磋商小组应当根据综合评</w:t>
      </w:r>
      <w:r>
        <w:rPr>
          <w:rFonts w:hint="eastAsia" w:ascii="宋体" w:hAnsi="宋体" w:cs="Arial"/>
          <w:sz w:val="24"/>
          <w:szCs w:val="24"/>
          <w:highlight w:val="none"/>
        </w:rPr>
        <w:t>分情况，按照评审得分由高到低顺序推荐3名以上成交候选供应商，并编写评审报告。符合财库【2014】214号第三条第四项或财库【2015】124号规定情形的，可以推荐2家成交候选供应商。评审得分相同的，按照最后报价由低到高的顺序推荐。评审得分且最后报价相同的，按照技术指标优劣顺</w:t>
      </w:r>
      <w:r>
        <w:rPr>
          <w:rFonts w:hint="eastAsia" w:ascii="宋体" w:hAnsi="Arial" w:cs="宋体"/>
          <w:kern w:val="0"/>
          <w:sz w:val="24"/>
          <w:szCs w:val="24"/>
          <w:highlight w:val="none"/>
        </w:rPr>
        <w:t>序推荐。</w:t>
      </w:r>
    </w:p>
    <w:p w14:paraId="3CA48307">
      <w:pPr>
        <w:autoSpaceDE w:val="0"/>
        <w:autoSpaceDN w:val="0"/>
        <w:adjustRightInd w:val="0"/>
        <w:spacing w:line="540" w:lineRule="atLeast"/>
        <w:rPr>
          <w:rFonts w:hint="eastAsia" w:ascii="宋体" w:hAnsi="宋体" w:cs="Arial"/>
          <w:sz w:val="24"/>
          <w:szCs w:val="24"/>
          <w:highlight w:val="none"/>
        </w:rPr>
      </w:pPr>
      <w:r>
        <w:rPr>
          <w:rFonts w:hint="eastAsia" w:ascii="宋体" w:hAnsi="宋体" w:cs="Arial"/>
          <w:sz w:val="24"/>
          <w:szCs w:val="24"/>
          <w:highlight w:val="none"/>
        </w:rPr>
        <w:t>10、对于响应文件中含义不明确、同类问题表述不一致或者有明显文字和计算错误的内容，磋商小组应当以书面形式要求供应商作出必要的澄清、说明或者补正；</w:t>
      </w:r>
    </w:p>
    <w:p w14:paraId="0E43725F">
      <w:pPr>
        <w:autoSpaceDE w:val="0"/>
        <w:autoSpaceDN w:val="0"/>
        <w:adjustRightInd w:val="0"/>
        <w:spacing w:line="540" w:lineRule="atLeast"/>
        <w:rPr>
          <w:rFonts w:hint="eastAsia" w:ascii="宋体" w:hAnsi="宋体" w:cs="Arial"/>
          <w:sz w:val="24"/>
          <w:szCs w:val="24"/>
          <w:highlight w:val="none"/>
        </w:rPr>
      </w:pPr>
      <w:r>
        <w:rPr>
          <w:rFonts w:hint="eastAsia" w:ascii="宋体" w:hAnsi="宋体" w:cs="Arial"/>
          <w:sz w:val="24"/>
          <w:szCs w:val="24"/>
          <w:highlight w:val="none"/>
        </w:rPr>
        <w:t>11、</w:t>
      </w:r>
      <w:r>
        <w:rPr>
          <w:rFonts w:ascii="宋体" w:hAnsi="宋体" w:cs="Arial"/>
          <w:sz w:val="24"/>
          <w:szCs w:val="24"/>
          <w:highlight w:val="none"/>
        </w:rPr>
        <w:t>编写评审报告</w:t>
      </w:r>
      <w:r>
        <w:rPr>
          <w:rFonts w:hint="eastAsia" w:ascii="宋体" w:hAnsi="宋体" w:cs="Arial"/>
          <w:sz w:val="24"/>
          <w:szCs w:val="24"/>
          <w:highlight w:val="none"/>
        </w:rPr>
        <w:t>。</w:t>
      </w:r>
    </w:p>
    <w:p w14:paraId="4C875D49">
      <w:pPr>
        <w:autoSpaceDE w:val="0"/>
        <w:autoSpaceDN w:val="0"/>
        <w:adjustRightInd w:val="0"/>
        <w:spacing w:line="540" w:lineRule="atLeast"/>
        <w:rPr>
          <w:rFonts w:ascii="宋体" w:hAnsi="Arial" w:cs="宋体"/>
          <w:b/>
          <w:kern w:val="0"/>
          <w:sz w:val="23"/>
          <w:szCs w:val="23"/>
          <w:highlight w:val="none"/>
          <w:lang w:val="zh-CN"/>
        </w:rPr>
      </w:pPr>
      <w:r>
        <w:rPr>
          <w:rFonts w:hint="eastAsia" w:ascii="宋体" w:hAnsi="Arial" w:cs="宋体"/>
          <w:b/>
          <w:kern w:val="0"/>
          <w:sz w:val="23"/>
          <w:szCs w:val="23"/>
          <w:highlight w:val="none"/>
          <w:lang w:val="zh-CN"/>
        </w:rPr>
        <w:br w:type="page"/>
      </w:r>
      <w:r>
        <w:rPr>
          <w:rFonts w:hint="eastAsia" w:ascii="宋体" w:hAnsi="Arial" w:cs="宋体"/>
          <w:b/>
          <w:kern w:val="0"/>
          <w:sz w:val="24"/>
          <w:szCs w:val="24"/>
          <w:highlight w:val="none"/>
          <w:lang w:val="zh-CN"/>
        </w:rPr>
        <w:t>五、</w:t>
      </w:r>
      <w:r>
        <w:rPr>
          <w:rFonts w:hint="eastAsia" w:ascii="宋体" w:hAnsi="Arial" w:cs="宋体"/>
          <w:b/>
          <w:kern w:val="0"/>
          <w:sz w:val="24"/>
          <w:szCs w:val="24"/>
          <w:highlight w:val="none"/>
        </w:rPr>
        <w:t>评审细则</w:t>
      </w:r>
    </w:p>
    <w:tbl>
      <w:tblPr>
        <w:tblStyle w:val="37"/>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991"/>
        <w:gridCol w:w="2625"/>
        <w:gridCol w:w="881"/>
        <w:gridCol w:w="2610"/>
      </w:tblGrid>
      <w:tr w14:paraId="6267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8793" w:type="dxa"/>
            <w:gridSpan w:val="5"/>
            <w:vAlign w:val="bottom"/>
          </w:tcPr>
          <w:p w14:paraId="00128AE5">
            <w:pPr>
              <w:pStyle w:val="82"/>
              <w:pBdr>
                <w:bottom w:val="none" w:color="auto" w:sz="0" w:space="0"/>
              </w:pBdr>
              <w:tabs>
                <w:tab w:val="clear" w:pos="4153"/>
                <w:tab w:val="clear" w:pos="8306"/>
              </w:tabs>
              <w:snapToGrid w:val="0"/>
              <w:spacing w:line="240" w:lineRule="auto"/>
              <w:textAlignment w:val="auto"/>
              <w:rPr>
                <w:rFonts w:hint="eastAsia" w:ascii="宋体" w:hAnsi="宋体" w:cs="宋体"/>
                <w:b/>
                <w:color w:val="000000"/>
                <w:kern w:val="2"/>
                <w:sz w:val="21"/>
                <w:szCs w:val="21"/>
                <w:highlight w:val="none"/>
              </w:rPr>
            </w:pPr>
            <w:r>
              <w:rPr>
                <w:rFonts w:hint="eastAsia" w:ascii="宋体" w:hAnsi="宋体" w:cs="宋体"/>
                <w:b/>
                <w:color w:val="000000"/>
                <w:kern w:val="2"/>
                <w:sz w:val="21"/>
                <w:szCs w:val="21"/>
                <w:highlight w:val="none"/>
              </w:rPr>
              <w:t>郎溪县人民医院医共体基础设施提升改造项目EPC监理服务采购项目初审审查表</w:t>
            </w:r>
          </w:p>
        </w:tc>
      </w:tr>
      <w:tr w14:paraId="29CE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793" w:type="dxa"/>
            <w:gridSpan w:val="5"/>
            <w:vAlign w:val="center"/>
          </w:tcPr>
          <w:p w14:paraId="2BC46E77">
            <w:pPr>
              <w:adjustRightInd w:val="0"/>
              <w:snapToGrid w:val="0"/>
              <w:jc w:val="left"/>
              <w:rPr>
                <w:rFonts w:hint="eastAsia" w:ascii="宋体" w:hAnsi="宋体" w:cs="宋体"/>
                <w:color w:val="000000"/>
                <w:szCs w:val="21"/>
                <w:highlight w:val="none"/>
              </w:rPr>
            </w:pPr>
            <w:r>
              <w:rPr>
                <w:rFonts w:hint="eastAsia" w:ascii="宋体" w:hAnsi="宋体" w:cs="宋体"/>
                <w:color w:val="000000"/>
                <w:szCs w:val="21"/>
                <w:highlight w:val="none"/>
              </w:rPr>
              <w:t>供应商：</w:t>
            </w:r>
          </w:p>
        </w:tc>
      </w:tr>
      <w:tr w14:paraId="0839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3" w:type="dxa"/>
            <w:gridSpan w:val="5"/>
            <w:vAlign w:val="center"/>
          </w:tcPr>
          <w:p w14:paraId="7754B892">
            <w:pPr>
              <w:adjustRightInd w:val="0"/>
              <w:snapToGrid w:val="0"/>
              <w:jc w:val="left"/>
              <w:rPr>
                <w:rFonts w:hint="eastAsia" w:ascii="宋体" w:hAnsi="宋体" w:cs="宋体"/>
                <w:color w:val="000000"/>
                <w:szCs w:val="21"/>
                <w:highlight w:val="none"/>
              </w:rPr>
            </w:pPr>
            <w:r>
              <w:rPr>
                <w:rFonts w:hint="eastAsia" w:ascii="宋体" w:hAnsi="宋体" w:cs="宋体"/>
                <w:color w:val="000000"/>
                <w:szCs w:val="21"/>
                <w:highlight w:val="none"/>
              </w:rPr>
              <w:t>审查指标</w:t>
            </w:r>
          </w:p>
        </w:tc>
      </w:tr>
      <w:tr w14:paraId="7480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686" w:type="dxa"/>
            <w:tcBorders>
              <w:bottom w:val="single" w:color="auto" w:sz="4" w:space="0"/>
            </w:tcBorders>
            <w:vAlign w:val="center"/>
          </w:tcPr>
          <w:p w14:paraId="28425FC2">
            <w:pPr>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序号</w:t>
            </w:r>
          </w:p>
        </w:tc>
        <w:tc>
          <w:tcPr>
            <w:tcW w:w="1991" w:type="dxa"/>
            <w:tcBorders>
              <w:bottom w:val="single" w:color="auto" w:sz="4" w:space="0"/>
            </w:tcBorders>
            <w:vAlign w:val="center"/>
          </w:tcPr>
          <w:p w14:paraId="156050AC">
            <w:pPr>
              <w:pStyle w:val="82"/>
              <w:pBdr>
                <w:bottom w:val="none" w:color="auto" w:sz="0" w:space="0"/>
              </w:pBdr>
              <w:tabs>
                <w:tab w:val="clear" w:pos="4153"/>
                <w:tab w:val="clear" w:pos="8306"/>
              </w:tabs>
              <w:snapToGrid w:val="0"/>
              <w:spacing w:line="240" w:lineRule="auto"/>
              <w:textAlignment w:val="auto"/>
              <w:rPr>
                <w:rFonts w:hint="eastAsia" w:ascii="宋体" w:hAnsi="宋体" w:cs="宋体"/>
                <w:color w:val="000000"/>
                <w:kern w:val="2"/>
                <w:sz w:val="21"/>
                <w:szCs w:val="21"/>
                <w:highlight w:val="none"/>
              </w:rPr>
            </w:pPr>
            <w:r>
              <w:rPr>
                <w:rFonts w:hint="eastAsia" w:ascii="宋体" w:hAnsi="宋体" w:cs="宋体"/>
                <w:color w:val="000000"/>
                <w:kern w:val="2"/>
                <w:sz w:val="21"/>
                <w:szCs w:val="21"/>
                <w:highlight w:val="none"/>
              </w:rPr>
              <w:t>指标名称</w:t>
            </w:r>
          </w:p>
        </w:tc>
        <w:tc>
          <w:tcPr>
            <w:tcW w:w="2625" w:type="dxa"/>
            <w:tcBorders>
              <w:bottom w:val="single" w:color="auto" w:sz="4" w:space="0"/>
            </w:tcBorders>
            <w:vAlign w:val="center"/>
          </w:tcPr>
          <w:p w14:paraId="2B039CFE">
            <w:pPr>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指标要求</w:t>
            </w:r>
          </w:p>
        </w:tc>
        <w:tc>
          <w:tcPr>
            <w:tcW w:w="881" w:type="dxa"/>
            <w:tcBorders>
              <w:bottom w:val="single" w:color="auto" w:sz="4" w:space="0"/>
            </w:tcBorders>
            <w:vAlign w:val="center"/>
          </w:tcPr>
          <w:p w14:paraId="44AA9331">
            <w:pPr>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是否通过</w:t>
            </w:r>
          </w:p>
        </w:tc>
        <w:tc>
          <w:tcPr>
            <w:tcW w:w="2610" w:type="dxa"/>
            <w:tcBorders>
              <w:bottom w:val="single" w:color="auto" w:sz="4" w:space="0"/>
            </w:tcBorders>
            <w:vAlign w:val="center"/>
          </w:tcPr>
          <w:p w14:paraId="5EDD8D40">
            <w:pPr>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格式或提交资料要求</w:t>
            </w:r>
          </w:p>
        </w:tc>
      </w:tr>
      <w:tr w14:paraId="0F8A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686" w:type="dxa"/>
            <w:tcBorders>
              <w:bottom w:val="single" w:color="auto" w:sz="4" w:space="0"/>
            </w:tcBorders>
            <w:vAlign w:val="center"/>
          </w:tcPr>
          <w:p w14:paraId="080F9A43">
            <w:pPr>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991" w:type="dxa"/>
            <w:tcBorders>
              <w:bottom w:val="single" w:color="auto" w:sz="4" w:space="0"/>
            </w:tcBorders>
            <w:vAlign w:val="center"/>
          </w:tcPr>
          <w:p w14:paraId="599DB80E">
            <w:pPr>
              <w:jc w:val="left"/>
              <w:rPr>
                <w:rFonts w:hint="eastAsia" w:ascii="宋体" w:hAnsi="宋体" w:cs="宋体"/>
                <w:color w:val="000000"/>
                <w:szCs w:val="21"/>
                <w:highlight w:val="none"/>
              </w:rPr>
            </w:pPr>
            <w:r>
              <w:rPr>
                <w:rFonts w:hint="eastAsia" w:ascii="宋体" w:hAnsi="宋体" w:cs="宋体"/>
                <w:color w:val="000000"/>
                <w:szCs w:val="21"/>
                <w:highlight w:val="none"/>
              </w:rPr>
              <w:t>供应商声明函</w:t>
            </w:r>
          </w:p>
        </w:tc>
        <w:tc>
          <w:tcPr>
            <w:tcW w:w="2625" w:type="dxa"/>
            <w:tcBorders>
              <w:bottom w:val="single" w:color="auto" w:sz="4" w:space="0"/>
            </w:tcBorders>
            <w:vAlign w:val="center"/>
          </w:tcPr>
          <w:p w14:paraId="12AAE860">
            <w:pPr>
              <w:jc w:val="left"/>
              <w:rPr>
                <w:rFonts w:hint="eastAsia" w:ascii="宋体" w:hAnsi="宋体" w:cs="宋体"/>
                <w:color w:val="000000"/>
                <w:szCs w:val="21"/>
                <w:highlight w:val="none"/>
              </w:rPr>
            </w:pPr>
            <w:r>
              <w:rPr>
                <w:rFonts w:hint="eastAsia" w:ascii="宋体" w:hAnsi="宋体" w:cs="宋体"/>
                <w:color w:val="000000"/>
                <w:szCs w:val="21"/>
                <w:highlight w:val="none"/>
              </w:rPr>
              <w:t>按照规定格式</w:t>
            </w:r>
          </w:p>
        </w:tc>
        <w:tc>
          <w:tcPr>
            <w:tcW w:w="881" w:type="dxa"/>
            <w:tcBorders>
              <w:bottom w:val="single" w:color="auto" w:sz="4" w:space="0"/>
            </w:tcBorders>
            <w:vAlign w:val="center"/>
          </w:tcPr>
          <w:p w14:paraId="41A164F2">
            <w:pPr>
              <w:adjustRightInd w:val="0"/>
              <w:snapToGrid w:val="0"/>
              <w:jc w:val="left"/>
              <w:rPr>
                <w:rFonts w:hint="eastAsia" w:ascii="宋体" w:hAnsi="宋体" w:cs="宋体"/>
                <w:color w:val="000000"/>
                <w:szCs w:val="21"/>
                <w:highlight w:val="none"/>
              </w:rPr>
            </w:pPr>
          </w:p>
        </w:tc>
        <w:tc>
          <w:tcPr>
            <w:tcW w:w="2610" w:type="dxa"/>
            <w:tcBorders>
              <w:bottom w:val="single" w:color="auto" w:sz="4" w:space="0"/>
            </w:tcBorders>
            <w:vAlign w:val="center"/>
          </w:tcPr>
          <w:p w14:paraId="67AA68FC">
            <w:pPr>
              <w:adjustRightInd w:val="0"/>
              <w:snapToGrid w:val="0"/>
              <w:jc w:val="left"/>
              <w:rPr>
                <w:rFonts w:hint="eastAsia" w:ascii="宋体" w:hAnsi="宋体" w:cs="宋体"/>
                <w:color w:val="000000"/>
                <w:szCs w:val="21"/>
                <w:highlight w:val="none"/>
              </w:rPr>
            </w:pPr>
          </w:p>
        </w:tc>
      </w:tr>
      <w:tr w14:paraId="6F5E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686" w:type="dxa"/>
            <w:vAlign w:val="center"/>
          </w:tcPr>
          <w:p w14:paraId="4E73F533">
            <w:pPr>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1991" w:type="dxa"/>
            <w:vAlign w:val="center"/>
          </w:tcPr>
          <w:p w14:paraId="519294A5">
            <w:pPr>
              <w:jc w:val="left"/>
              <w:rPr>
                <w:rFonts w:hint="eastAsia" w:ascii="宋体" w:hAnsi="宋体" w:cs="宋体"/>
                <w:color w:val="000000"/>
                <w:szCs w:val="21"/>
                <w:highlight w:val="none"/>
              </w:rPr>
            </w:pPr>
            <w:r>
              <w:rPr>
                <w:rFonts w:hint="eastAsia" w:ascii="宋体" w:hAnsi="宋体" w:cs="宋体"/>
                <w:color w:val="000000"/>
                <w:szCs w:val="21"/>
                <w:highlight w:val="none"/>
              </w:rPr>
              <w:t>响应函</w:t>
            </w:r>
          </w:p>
        </w:tc>
        <w:tc>
          <w:tcPr>
            <w:tcW w:w="2625" w:type="dxa"/>
            <w:vAlign w:val="center"/>
          </w:tcPr>
          <w:p w14:paraId="7F5D6617">
            <w:pPr>
              <w:jc w:val="left"/>
              <w:rPr>
                <w:rFonts w:hint="eastAsia" w:ascii="宋体" w:hAnsi="宋体" w:cs="宋体"/>
                <w:color w:val="000000"/>
                <w:szCs w:val="21"/>
                <w:highlight w:val="none"/>
              </w:rPr>
            </w:pPr>
            <w:r>
              <w:rPr>
                <w:rFonts w:hint="eastAsia" w:ascii="宋体" w:hAnsi="宋体" w:cs="宋体"/>
                <w:color w:val="000000"/>
                <w:szCs w:val="21"/>
                <w:highlight w:val="none"/>
              </w:rPr>
              <w:t>符合磋商文件要求</w:t>
            </w:r>
          </w:p>
        </w:tc>
        <w:tc>
          <w:tcPr>
            <w:tcW w:w="881" w:type="dxa"/>
            <w:vAlign w:val="center"/>
          </w:tcPr>
          <w:p w14:paraId="3D226CA1">
            <w:pPr>
              <w:adjustRightInd w:val="0"/>
              <w:snapToGrid w:val="0"/>
              <w:jc w:val="left"/>
              <w:rPr>
                <w:rFonts w:hint="eastAsia" w:ascii="宋体" w:hAnsi="宋体" w:cs="宋体"/>
                <w:color w:val="000000"/>
                <w:szCs w:val="21"/>
                <w:highlight w:val="none"/>
              </w:rPr>
            </w:pPr>
          </w:p>
        </w:tc>
        <w:tc>
          <w:tcPr>
            <w:tcW w:w="2610" w:type="dxa"/>
            <w:vAlign w:val="center"/>
          </w:tcPr>
          <w:p w14:paraId="6CAE2218">
            <w:pPr>
              <w:adjustRightInd w:val="0"/>
              <w:snapToGrid w:val="0"/>
              <w:jc w:val="left"/>
              <w:rPr>
                <w:rFonts w:hint="eastAsia" w:ascii="宋体" w:hAnsi="宋体" w:cs="宋体"/>
                <w:color w:val="000000"/>
                <w:szCs w:val="21"/>
                <w:highlight w:val="none"/>
              </w:rPr>
            </w:pPr>
            <w:r>
              <w:rPr>
                <w:rFonts w:hint="eastAsia" w:ascii="宋体" w:hAnsi="宋体" w:cs="宋体"/>
                <w:color w:val="000000"/>
                <w:szCs w:val="21"/>
                <w:highlight w:val="none"/>
              </w:rPr>
              <w:t>按照规定格式</w:t>
            </w:r>
          </w:p>
        </w:tc>
      </w:tr>
      <w:tr w14:paraId="0117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686" w:type="dxa"/>
            <w:vAlign w:val="center"/>
          </w:tcPr>
          <w:p w14:paraId="27218A5A">
            <w:pPr>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1991" w:type="dxa"/>
            <w:vAlign w:val="center"/>
          </w:tcPr>
          <w:p w14:paraId="4CC55491">
            <w:pPr>
              <w:jc w:val="left"/>
              <w:rPr>
                <w:rFonts w:hint="eastAsia" w:ascii="宋体" w:hAnsi="宋体" w:cs="宋体"/>
                <w:color w:val="000000"/>
                <w:szCs w:val="21"/>
                <w:highlight w:val="none"/>
              </w:rPr>
            </w:pPr>
            <w:r>
              <w:rPr>
                <w:rFonts w:hint="eastAsia" w:ascii="宋体" w:hAnsi="宋体" w:cs="宋体"/>
                <w:color w:val="000000"/>
                <w:szCs w:val="21"/>
                <w:highlight w:val="none"/>
              </w:rPr>
              <w:t>法人授权委托书</w:t>
            </w:r>
          </w:p>
        </w:tc>
        <w:tc>
          <w:tcPr>
            <w:tcW w:w="2625" w:type="dxa"/>
            <w:vAlign w:val="center"/>
          </w:tcPr>
          <w:p w14:paraId="494A2F84">
            <w:pPr>
              <w:jc w:val="left"/>
              <w:rPr>
                <w:rFonts w:hint="eastAsia" w:ascii="宋体" w:hAnsi="宋体" w:cs="宋体"/>
                <w:color w:val="000000"/>
                <w:szCs w:val="21"/>
                <w:highlight w:val="none"/>
              </w:rPr>
            </w:pPr>
            <w:r>
              <w:rPr>
                <w:rFonts w:hint="eastAsia" w:ascii="宋体" w:hAnsi="宋体" w:cs="宋体"/>
                <w:color w:val="000000"/>
                <w:szCs w:val="21"/>
                <w:highlight w:val="none"/>
              </w:rPr>
              <w:t>符合磋商文件要求</w:t>
            </w:r>
          </w:p>
        </w:tc>
        <w:tc>
          <w:tcPr>
            <w:tcW w:w="881" w:type="dxa"/>
            <w:vAlign w:val="center"/>
          </w:tcPr>
          <w:p w14:paraId="3E0DC9EC">
            <w:pPr>
              <w:adjustRightInd w:val="0"/>
              <w:snapToGrid w:val="0"/>
              <w:jc w:val="left"/>
              <w:rPr>
                <w:rFonts w:hint="eastAsia" w:ascii="宋体" w:hAnsi="宋体" w:cs="宋体"/>
                <w:color w:val="000000"/>
                <w:szCs w:val="21"/>
                <w:highlight w:val="none"/>
              </w:rPr>
            </w:pPr>
          </w:p>
        </w:tc>
        <w:tc>
          <w:tcPr>
            <w:tcW w:w="2610" w:type="dxa"/>
            <w:vAlign w:val="center"/>
          </w:tcPr>
          <w:p w14:paraId="32083CF3">
            <w:pPr>
              <w:adjustRightInd w:val="0"/>
              <w:snapToGrid w:val="0"/>
              <w:jc w:val="left"/>
              <w:rPr>
                <w:rFonts w:hint="eastAsia" w:ascii="宋体" w:hAnsi="宋体" w:cs="宋体"/>
                <w:color w:val="000000"/>
                <w:szCs w:val="21"/>
                <w:highlight w:val="none"/>
              </w:rPr>
            </w:pPr>
            <w:r>
              <w:rPr>
                <w:rFonts w:hint="eastAsia" w:ascii="宋体" w:hAnsi="宋体" w:cs="宋体"/>
                <w:color w:val="000000"/>
                <w:szCs w:val="21"/>
                <w:highlight w:val="none"/>
              </w:rPr>
              <w:t>按规定格式提供。法人参加响应的，提供身份证明扫描件</w:t>
            </w:r>
          </w:p>
        </w:tc>
      </w:tr>
      <w:tr w14:paraId="4A51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686" w:type="dxa"/>
            <w:vAlign w:val="center"/>
          </w:tcPr>
          <w:p w14:paraId="6B11B4BE">
            <w:pPr>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4</w:t>
            </w:r>
          </w:p>
        </w:tc>
        <w:tc>
          <w:tcPr>
            <w:tcW w:w="1991" w:type="dxa"/>
            <w:vAlign w:val="center"/>
          </w:tcPr>
          <w:p w14:paraId="214FD37D">
            <w:pPr>
              <w:jc w:val="left"/>
              <w:rPr>
                <w:rFonts w:hint="eastAsia" w:ascii="宋体" w:hAnsi="宋体" w:cs="宋体"/>
                <w:color w:val="000000"/>
                <w:szCs w:val="21"/>
                <w:highlight w:val="none"/>
              </w:rPr>
            </w:pPr>
            <w:r>
              <w:rPr>
                <w:rFonts w:hint="eastAsia" w:ascii="宋体" w:hAnsi="宋体" w:cs="宋体"/>
                <w:color w:val="000000"/>
                <w:szCs w:val="21"/>
                <w:highlight w:val="none"/>
              </w:rPr>
              <w:t>获取磋商文件方式</w:t>
            </w:r>
          </w:p>
        </w:tc>
        <w:tc>
          <w:tcPr>
            <w:tcW w:w="2625" w:type="dxa"/>
            <w:vAlign w:val="center"/>
          </w:tcPr>
          <w:p w14:paraId="0E71282C">
            <w:pPr>
              <w:jc w:val="left"/>
              <w:rPr>
                <w:rFonts w:hint="eastAsia" w:ascii="宋体" w:hAnsi="宋体" w:cs="宋体"/>
                <w:color w:val="000000"/>
                <w:szCs w:val="21"/>
                <w:highlight w:val="none"/>
              </w:rPr>
            </w:pPr>
            <w:r>
              <w:rPr>
                <w:rFonts w:hint="eastAsia" w:ascii="宋体" w:hAnsi="宋体" w:cs="宋体"/>
                <w:szCs w:val="21"/>
                <w:highlight w:val="none"/>
              </w:rPr>
              <w:t>符合磋商文件要求</w:t>
            </w:r>
          </w:p>
        </w:tc>
        <w:tc>
          <w:tcPr>
            <w:tcW w:w="881" w:type="dxa"/>
            <w:vAlign w:val="center"/>
          </w:tcPr>
          <w:p w14:paraId="261ED795">
            <w:pPr>
              <w:adjustRightInd w:val="0"/>
              <w:snapToGrid w:val="0"/>
              <w:jc w:val="left"/>
              <w:rPr>
                <w:rFonts w:hint="eastAsia" w:ascii="宋体" w:hAnsi="宋体" w:cs="宋体"/>
                <w:color w:val="000000"/>
                <w:szCs w:val="21"/>
                <w:highlight w:val="none"/>
              </w:rPr>
            </w:pPr>
          </w:p>
        </w:tc>
        <w:tc>
          <w:tcPr>
            <w:tcW w:w="2610" w:type="dxa"/>
            <w:vAlign w:val="center"/>
          </w:tcPr>
          <w:p w14:paraId="0841406E">
            <w:pPr>
              <w:adjustRightInd w:val="0"/>
              <w:snapToGrid w:val="0"/>
              <w:jc w:val="left"/>
              <w:rPr>
                <w:rFonts w:hint="eastAsia" w:ascii="宋体" w:hAnsi="宋体" w:cs="宋体"/>
                <w:color w:val="000000"/>
                <w:szCs w:val="21"/>
                <w:highlight w:val="none"/>
              </w:rPr>
            </w:pPr>
          </w:p>
        </w:tc>
      </w:tr>
      <w:tr w14:paraId="73D4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86" w:type="dxa"/>
            <w:vAlign w:val="center"/>
          </w:tcPr>
          <w:p w14:paraId="31A2C80F">
            <w:pPr>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1991" w:type="dxa"/>
            <w:vAlign w:val="center"/>
          </w:tcPr>
          <w:p w14:paraId="4CE1B154">
            <w:pPr>
              <w:jc w:val="left"/>
              <w:rPr>
                <w:rFonts w:hint="eastAsia" w:ascii="宋体" w:hAnsi="宋体" w:cs="宋体"/>
                <w:szCs w:val="21"/>
                <w:highlight w:val="none"/>
              </w:rPr>
            </w:pPr>
            <w:r>
              <w:rPr>
                <w:rFonts w:hint="eastAsia" w:ascii="宋体" w:hAnsi="宋体" w:cs="宋体"/>
                <w:szCs w:val="21"/>
                <w:highlight w:val="none"/>
              </w:rPr>
              <w:t>响应文件规范性</w:t>
            </w:r>
          </w:p>
        </w:tc>
        <w:tc>
          <w:tcPr>
            <w:tcW w:w="2625" w:type="dxa"/>
            <w:vAlign w:val="center"/>
          </w:tcPr>
          <w:p w14:paraId="095CC11B">
            <w:pPr>
              <w:pStyle w:val="82"/>
              <w:pBdr>
                <w:bottom w:val="none" w:color="auto" w:sz="0" w:space="0"/>
              </w:pBdr>
              <w:tabs>
                <w:tab w:val="clear" w:pos="4153"/>
                <w:tab w:val="clear" w:pos="8306"/>
              </w:tabs>
              <w:adjustRightInd/>
              <w:spacing w:line="240" w:lineRule="auto"/>
              <w:jc w:val="left"/>
              <w:textAlignment w:val="auto"/>
              <w:rPr>
                <w:rFonts w:hint="eastAsia" w:ascii="宋体" w:hAnsi="宋体" w:cs="宋体"/>
                <w:kern w:val="2"/>
                <w:sz w:val="21"/>
                <w:szCs w:val="21"/>
                <w:highlight w:val="none"/>
              </w:rPr>
            </w:pPr>
            <w:r>
              <w:rPr>
                <w:rFonts w:hint="eastAsia" w:ascii="宋体" w:hAnsi="宋体" w:cs="宋体"/>
                <w:kern w:val="2"/>
                <w:sz w:val="21"/>
                <w:szCs w:val="21"/>
                <w:highlight w:val="none"/>
              </w:rPr>
              <w:t>符合磋商文件要求：按规定格式、无严重的编排混乱、内容不全或字迹模糊辨认不清、前后矛盾情况，对评审无实质性影响的</w:t>
            </w:r>
          </w:p>
        </w:tc>
        <w:tc>
          <w:tcPr>
            <w:tcW w:w="881" w:type="dxa"/>
            <w:vAlign w:val="center"/>
          </w:tcPr>
          <w:p w14:paraId="4668D744">
            <w:pPr>
              <w:adjustRightInd w:val="0"/>
              <w:snapToGrid w:val="0"/>
              <w:jc w:val="left"/>
              <w:rPr>
                <w:rFonts w:hint="eastAsia" w:ascii="宋体" w:hAnsi="宋体" w:cs="宋体"/>
                <w:szCs w:val="21"/>
                <w:highlight w:val="none"/>
              </w:rPr>
            </w:pPr>
          </w:p>
        </w:tc>
        <w:tc>
          <w:tcPr>
            <w:tcW w:w="2610" w:type="dxa"/>
            <w:vAlign w:val="center"/>
          </w:tcPr>
          <w:p w14:paraId="3F1716DB">
            <w:pPr>
              <w:adjustRightInd w:val="0"/>
              <w:snapToGrid w:val="0"/>
              <w:jc w:val="left"/>
              <w:rPr>
                <w:rFonts w:hint="eastAsia" w:ascii="宋体" w:hAnsi="宋体" w:cs="宋体"/>
                <w:szCs w:val="21"/>
                <w:highlight w:val="none"/>
              </w:rPr>
            </w:pPr>
          </w:p>
        </w:tc>
      </w:tr>
      <w:tr w14:paraId="428C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686" w:type="dxa"/>
            <w:vAlign w:val="center"/>
          </w:tcPr>
          <w:p w14:paraId="41849371">
            <w:pPr>
              <w:adjustRightInd w:val="0"/>
              <w:snapToGrid w:val="0"/>
              <w:jc w:val="center"/>
              <w:rPr>
                <w:rFonts w:hint="eastAsia" w:ascii="宋体" w:hAnsi="宋体" w:cs="宋体"/>
                <w:szCs w:val="21"/>
                <w:highlight w:val="none"/>
              </w:rPr>
            </w:pPr>
            <w:r>
              <w:rPr>
                <w:rFonts w:hint="eastAsia" w:ascii="宋体" w:hAnsi="宋体" w:cs="宋体"/>
                <w:szCs w:val="21"/>
                <w:highlight w:val="none"/>
              </w:rPr>
              <w:t>6</w:t>
            </w:r>
          </w:p>
        </w:tc>
        <w:tc>
          <w:tcPr>
            <w:tcW w:w="1991" w:type="dxa"/>
            <w:vAlign w:val="center"/>
          </w:tcPr>
          <w:p w14:paraId="161927A7">
            <w:pPr>
              <w:jc w:val="left"/>
              <w:rPr>
                <w:rFonts w:hint="eastAsia" w:ascii="宋体" w:hAnsi="宋体" w:cs="宋体"/>
                <w:szCs w:val="21"/>
                <w:highlight w:val="none"/>
              </w:rPr>
            </w:pPr>
            <w:r>
              <w:rPr>
                <w:rFonts w:hint="eastAsia" w:ascii="宋体" w:hAnsi="宋体" w:cs="宋体"/>
                <w:szCs w:val="21"/>
                <w:highlight w:val="none"/>
              </w:rPr>
              <w:t>响应文件响应情况</w:t>
            </w:r>
          </w:p>
        </w:tc>
        <w:tc>
          <w:tcPr>
            <w:tcW w:w="2625" w:type="dxa"/>
            <w:vAlign w:val="center"/>
          </w:tcPr>
          <w:p w14:paraId="5E12DDB9">
            <w:pPr>
              <w:jc w:val="left"/>
              <w:rPr>
                <w:rFonts w:hint="eastAsia" w:ascii="宋体" w:hAnsi="宋体" w:cs="宋体"/>
                <w:szCs w:val="21"/>
                <w:highlight w:val="none"/>
              </w:rPr>
            </w:pPr>
            <w:r>
              <w:rPr>
                <w:rFonts w:hint="eastAsia" w:ascii="宋体" w:hAnsi="宋体" w:cs="宋体"/>
                <w:szCs w:val="21"/>
                <w:highlight w:val="none"/>
              </w:rPr>
              <w:t>付款响应、交货期响应、售后服务响应等</w:t>
            </w:r>
          </w:p>
        </w:tc>
        <w:tc>
          <w:tcPr>
            <w:tcW w:w="881" w:type="dxa"/>
            <w:vAlign w:val="center"/>
          </w:tcPr>
          <w:p w14:paraId="14D0FAEB">
            <w:pPr>
              <w:adjustRightInd w:val="0"/>
              <w:snapToGrid w:val="0"/>
              <w:jc w:val="left"/>
              <w:rPr>
                <w:rFonts w:hint="eastAsia" w:ascii="宋体" w:hAnsi="宋体" w:cs="宋体"/>
                <w:szCs w:val="21"/>
                <w:highlight w:val="none"/>
              </w:rPr>
            </w:pPr>
          </w:p>
        </w:tc>
        <w:tc>
          <w:tcPr>
            <w:tcW w:w="2610" w:type="dxa"/>
            <w:vAlign w:val="center"/>
          </w:tcPr>
          <w:p w14:paraId="3036D4C0">
            <w:pPr>
              <w:adjustRightInd w:val="0"/>
              <w:snapToGrid w:val="0"/>
              <w:jc w:val="left"/>
              <w:rPr>
                <w:rFonts w:hint="eastAsia" w:ascii="宋体" w:hAnsi="宋体" w:cs="宋体"/>
                <w:szCs w:val="21"/>
                <w:highlight w:val="none"/>
              </w:rPr>
            </w:pPr>
          </w:p>
        </w:tc>
      </w:tr>
      <w:tr w14:paraId="4549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6" w:type="dxa"/>
            <w:vAlign w:val="center"/>
          </w:tcPr>
          <w:p w14:paraId="26DFFB60">
            <w:pPr>
              <w:adjustRightInd w:val="0"/>
              <w:snapToGrid w:val="0"/>
              <w:jc w:val="center"/>
              <w:rPr>
                <w:rFonts w:hint="eastAsia" w:ascii="宋体" w:hAnsi="宋体" w:cs="宋体"/>
                <w:szCs w:val="21"/>
                <w:highlight w:val="none"/>
              </w:rPr>
            </w:pPr>
            <w:r>
              <w:rPr>
                <w:rFonts w:hint="eastAsia" w:ascii="宋体" w:hAnsi="宋体" w:cs="宋体"/>
                <w:szCs w:val="21"/>
                <w:highlight w:val="none"/>
              </w:rPr>
              <w:t>7</w:t>
            </w:r>
          </w:p>
        </w:tc>
        <w:tc>
          <w:tcPr>
            <w:tcW w:w="1991" w:type="dxa"/>
            <w:vAlign w:val="center"/>
          </w:tcPr>
          <w:p w14:paraId="79BB6485">
            <w:pPr>
              <w:jc w:val="left"/>
              <w:rPr>
                <w:rFonts w:hint="eastAsia" w:ascii="宋体" w:hAnsi="宋体" w:cs="宋体"/>
                <w:szCs w:val="21"/>
                <w:highlight w:val="none"/>
              </w:rPr>
            </w:pPr>
            <w:r>
              <w:rPr>
                <w:rFonts w:hint="eastAsia" w:ascii="宋体" w:hAnsi="宋体" w:cs="宋体"/>
                <w:szCs w:val="21"/>
                <w:highlight w:val="none"/>
              </w:rPr>
              <w:t>服务要求及其他实质性响应情况</w:t>
            </w:r>
          </w:p>
        </w:tc>
        <w:tc>
          <w:tcPr>
            <w:tcW w:w="2625" w:type="dxa"/>
            <w:vAlign w:val="center"/>
          </w:tcPr>
          <w:p w14:paraId="250C2992">
            <w:pPr>
              <w:jc w:val="left"/>
              <w:rPr>
                <w:rFonts w:hint="eastAsia" w:ascii="宋体" w:hAnsi="宋体" w:cs="宋体"/>
                <w:szCs w:val="21"/>
                <w:highlight w:val="none"/>
              </w:rPr>
            </w:pPr>
            <w:r>
              <w:rPr>
                <w:rFonts w:hint="eastAsia" w:ascii="宋体" w:hAnsi="宋体" w:cs="宋体"/>
                <w:szCs w:val="21"/>
                <w:highlight w:val="none"/>
              </w:rPr>
              <w:t>响应磋商文件要求，所提供服务满足磋商文件实质性要求</w:t>
            </w:r>
          </w:p>
        </w:tc>
        <w:tc>
          <w:tcPr>
            <w:tcW w:w="881" w:type="dxa"/>
            <w:vAlign w:val="center"/>
          </w:tcPr>
          <w:p w14:paraId="5EA38534">
            <w:pPr>
              <w:adjustRightInd w:val="0"/>
              <w:snapToGrid w:val="0"/>
              <w:jc w:val="left"/>
              <w:rPr>
                <w:rFonts w:hint="eastAsia" w:ascii="宋体" w:hAnsi="宋体" w:cs="宋体"/>
                <w:szCs w:val="21"/>
                <w:highlight w:val="none"/>
              </w:rPr>
            </w:pPr>
          </w:p>
        </w:tc>
        <w:tc>
          <w:tcPr>
            <w:tcW w:w="2610" w:type="dxa"/>
            <w:vAlign w:val="center"/>
          </w:tcPr>
          <w:p w14:paraId="4239FA73">
            <w:pPr>
              <w:adjustRightInd w:val="0"/>
              <w:snapToGrid w:val="0"/>
              <w:jc w:val="left"/>
              <w:rPr>
                <w:rFonts w:hint="eastAsia" w:ascii="宋体" w:hAnsi="宋体" w:cs="宋体"/>
                <w:szCs w:val="21"/>
                <w:highlight w:val="none"/>
              </w:rPr>
            </w:pPr>
          </w:p>
        </w:tc>
      </w:tr>
      <w:tr w14:paraId="74E1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686" w:type="dxa"/>
            <w:vAlign w:val="center"/>
          </w:tcPr>
          <w:p w14:paraId="409A9ACF">
            <w:pPr>
              <w:adjustRightInd w:val="0"/>
              <w:snapToGrid w:val="0"/>
              <w:jc w:val="center"/>
              <w:rPr>
                <w:rFonts w:hint="eastAsia" w:ascii="宋体" w:hAnsi="宋体" w:cs="宋体"/>
                <w:szCs w:val="21"/>
                <w:highlight w:val="none"/>
              </w:rPr>
            </w:pPr>
            <w:r>
              <w:rPr>
                <w:rFonts w:hint="eastAsia" w:ascii="宋体" w:hAnsi="宋体" w:cs="宋体"/>
                <w:szCs w:val="21"/>
                <w:highlight w:val="none"/>
              </w:rPr>
              <w:t>8</w:t>
            </w:r>
          </w:p>
        </w:tc>
        <w:tc>
          <w:tcPr>
            <w:tcW w:w="1991" w:type="dxa"/>
            <w:vAlign w:val="center"/>
          </w:tcPr>
          <w:p w14:paraId="0631DD08">
            <w:pPr>
              <w:jc w:val="left"/>
              <w:rPr>
                <w:rFonts w:hint="eastAsia" w:ascii="宋体" w:hAnsi="宋体" w:cs="宋体"/>
                <w:szCs w:val="21"/>
                <w:highlight w:val="none"/>
              </w:rPr>
            </w:pPr>
            <w:r>
              <w:rPr>
                <w:rFonts w:hint="eastAsia" w:ascii="宋体" w:hAnsi="宋体" w:cs="宋体"/>
                <w:szCs w:val="21"/>
                <w:highlight w:val="none"/>
              </w:rPr>
              <w:t>报价</w:t>
            </w:r>
          </w:p>
        </w:tc>
        <w:tc>
          <w:tcPr>
            <w:tcW w:w="2625" w:type="dxa"/>
            <w:vAlign w:val="center"/>
          </w:tcPr>
          <w:p w14:paraId="41F9299D">
            <w:pPr>
              <w:jc w:val="left"/>
              <w:rPr>
                <w:rFonts w:hint="eastAsia" w:ascii="宋体" w:hAnsi="宋体" w:cs="宋体"/>
                <w:szCs w:val="21"/>
                <w:highlight w:val="none"/>
              </w:rPr>
            </w:pPr>
            <w:r>
              <w:rPr>
                <w:rFonts w:hint="eastAsia" w:ascii="宋体" w:hAnsi="宋体" w:cs="宋体"/>
                <w:szCs w:val="21"/>
                <w:highlight w:val="none"/>
              </w:rPr>
              <w:t>响应报价未超过本项目控制价</w:t>
            </w:r>
          </w:p>
        </w:tc>
        <w:tc>
          <w:tcPr>
            <w:tcW w:w="881" w:type="dxa"/>
            <w:vAlign w:val="center"/>
          </w:tcPr>
          <w:p w14:paraId="0EBE3E3C">
            <w:pPr>
              <w:adjustRightInd w:val="0"/>
              <w:snapToGrid w:val="0"/>
              <w:jc w:val="left"/>
              <w:rPr>
                <w:rFonts w:hint="eastAsia" w:ascii="宋体" w:hAnsi="宋体" w:cs="宋体"/>
                <w:szCs w:val="21"/>
                <w:highlight w:val="none"/>
              </w:rPr>
            </w:pPr>
          </w:p>
        </w:tc>
        <w:tc>
          <w:tcPr>
            <w:tcW w:w="2610" w:type="dxa"/>
            <w:vAlign w:val="center"/>
          </w:tcPr>
          <w:p w14:paraId="3366413D">
            <w:pPr>
              <w:adjustRightInd w:val="0"/>
              <w:snapToGrid w:val="0"/>
              <w:jc w:val="left"/>
              <w:rPr>
                <w:rFonts w:hint="eastAsia" w:ascii="宋体" w:hAnsi="宋体" w:cs="宋体"/>
                <w:szCs w:val="21"/>
                <w:highlight w:val="none"/>
              </w:rPr>
            </w:pPr>
            <w:r>
              <w:rPr>
                <w:rFonts w:hint="eastAsia" w:ascii="宋体" w:hAnsi="宋体" w:cs="宋体"/>
                <w:szCs w:val="21"/>
                <w:highlight w:val="none"/>
              </w:rPr>
              <w:t>超过本项目控制价（预算价）为无效响应</w:t>
            </w:r>
          </w:p>
        </w:tc>
      </w:tr>
      <w:tr w14:paraId="01C7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86" w:type="dxa"/>
            <w:vAlign w:val="center"/>
          </w:tcPr>
          <w:p w14:paraId="0DB3A44C">
            <w:pPr>
              <w:adjustRightInd w:val="0"/>
              <w:snapToGrid w:val="0"/>
              <w:jc w:val="center"/>
              <w:rPr>
                <w:rFonts w:hint="eastAsia" w:ascii="宋体" w:hAnsi="宋体" w:cs="宋体"/>
                <w:szCs w:val="21"/>
                <w:highlight w:val="none"/>
              </w:rPr>
            </w:pPr>
            <w:r>
              <w:rPr>
                <w:rFonts w:hint="eastAsia" w:ascii="宋体" w:hAnsi="宋体" w:cs="宋体"/>
                <w:szCs w:val="21"/>
                <w:highlight w:val="none"/>
              </w:rPr>
              <w:t>9</w:t>
            </w:r>
          </w:p>
        </w:tc>
        <w:tc>
          <w:tcPr>
            <w:tcW w:w="1991" w:type="dxa"/>
            <w:vAlign w:val="center"/>
          </w:tcPr>
          <w:p w14:paraId="3FB2AB16">
            <w:pPr>
              <w:adjustRightInd w:val="0"/>
              <w:snapToGrid w:val="0"/>
              <w:jc w:val="left"/>
              <w:rPr>
                <w:rFonts w:hint="eastAsia" w:ascii="宋体" w:hAnsi="宋体" w:cs="宋体"/>
                <w:szCs w:val="21"/>
                <w:highlight w:val="none"/>
              </w:rPr>
            </w:pPr>
            <w:r>
              <w:rPr>
                <w:rFonts w:hint="eastAsia" w:ascii="宋体" w:hAnsi="宋体" w:cs="宋体"/>
                <w:szCs w:val="21"/>
                <w:highlight w:val="none"/>
              </w:rPr>
              <w:t>其他</w:t>
            </w:r>
          </w:p>
        </w:tc>
        <w:tc>
          <w:tcPr>
            <w:tcW w:w="2625" w:type="dxa"/>
            <w:vAlign w:val="center"/>
          </w:tcPr>
          <w:p w14:paraId="445A3CAA">
            <w:pPr>
              <w:adjustRightInd w:val="0"/>
              <w:snapToGrid w:val="0"/>
              <w:jc w:val="left"/>
              <w:rPr>
                <w:rFonts w:hint="eastAsia" w:ascii="宋体" w:hAnsi="宋体" w:cs="宋体"/>
                <w:szCs w:val="21"/>
                <w:highlight w:val="none"/>
              </w:rPr>
            </w:pPr>
            <w:r>
              <w:rPr>
                <w:rFonts w:hint="eastAsia" w:ascii="宋体" w:hAnsi="宋体" w:cs="宋体"/>
                <w:szCs w:val="21"/>
                <w:highlight w:val="none"/>
              </w:rPr>
              <w:t>提供本项目采购需求中要求提交的证明资料</w:t>
            </w:r>
          </w:p>
        </w:tc>
        <w:tc>
          <w:tcPr>
            <w:tcW w:w="881" w:type="dxa"/>
            <w:vAlign w:val="center"/>
          </w:tcPr>
          <w:p w14:paraId="54D61F25">
            <w:pPr>
              <w:adjustRightInd w:val="0"/>
              <w:snapToGrid w:val="0"/>
              <w:jc w:val="left"/>
              <w:rPr>
                <w:rFonts w:hint="eastAsia" w:ascii="宋体" w:hAnsi="宋体" w:cs="宋体"/>
                <w:szCs w:val="21"/>
                <w:highlight w:val="none"/>
              </w:rPr>
            </w:pPr>
          </w:p>
        </w:tc>
        <w:tc>
          <w:tcPr>
            <w:tcW w:w="2610" w:type="dxa"/>
            <w:vAlign w:val="center"/>
          </w:tcPr>
          <w:p w14:paraId="3575C308">
            <w:pPr>
              <w:adjustRightInd w:val="0"/>
              <w:snapToGrid w:val="0"/>
              <w:jc w:val="left"/>
              <w:rPr>
                <w:rFonts w:hint="eastAsia" w:ascii="宋体" w:hAnsi="宋体" w:cs="宋体"/>
                <w:szCs w:val="21"/>
                <w:highlight w:val="none"/>
              </w:rPr>
            </w:pPr>
          </w:p>
        </w:tc>
      </w:tr>
      <w:tr w14:paraId="79B5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8793" w:type="dxa"/>
            <w:gridSpan w:val="5"/>
            <w:vAlign w:val="center"/>
          </w:tcPr>
          <w:p w14:paraId="6A5C805F">
            <w:pPr>
              <w:adjustRightInd w:val="0"/>
              <w:snapToGrid w:val="0"/>
              <w:jc w:val="left"/>
              <w:rPr>
                <w:rFonts w:hint="eastAsia" w:ascii="宋体" w:hAnsi="宋体" w:cs="宋体"/>
                <w:szCs w:val="21"/>
                <w:highlight w:val="none"/>
              </w:rPr>
            </w:pPr>
            <w:r>
              <w:rPr>
                <w:rFonts w:hint="eastAsia" w:ascii="宋体" w:hAnsi="宋体" w:cs="宋体"/>
                <w:szCs w:val="21"/>
                <w:highlight w:val="none"/>
              </w:rPr>
              <w:t>审查意见：</w:t>
            </w:r>
          </w:p>
        </w:tc>
      </w:tr>
      <w:tr w14:paraId="2CD6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8793" w:type="dxa"/>
            <w:gridSpan w:val="5"/>
            <w:vAlign w:val="center"/>
          </w:tcPr>
          <w:p w14:paraId="47641737">
            <w:pPr>
              <w:adjustRightInd w:val="0"/>
              <w:snapToGrid w:val="0"/>
              <w:jc w:val="left"/>
              <w:rPr>
                <w:rFonts w:hint="eastAsia" w:ascii="宋体" w:hAnsi="宋体" w:cs="宋体"/>
                <w:szCs w:val="21"/>
                <w:highlight w:val="none"/>
              </w:rPr>
            </w:pPr>
            <w:r>
              <w:rPr>
                <w:rFonts w:hint="eastAsia" w:ascii="宋体" w:hAnsi="宋体" w:cs="宋体"/>
                <w:szCs w:val="21"/>
                <w:highlight w:val="none"/>
              </w:rPr>
              <w:t>磋商小组签字：</w:t>
            </w:r>
          </w:p>
          <w:p w14:paraId="65DB65A1">
            <w:pPr>
              <w:adjustRightInd w:val="0"/>
              <w:snapToGrid w:val="0"/>
              <w:jc w:val="left"/>
              <w:rPr>
                <w:rFonts w:hint="eastAsia" w:ascii="宋体" w:hAnsi="宋体" w:cs="宋体"/>
                <w:b/>
                <w:szCs w:val="21"/>
                <w:highlight w:val="none"/>
              </w:rPr>
            </w:pPr>
            <w:r>
              <w:rPr>
                <w:rFonts w:hint="eastAsia" w:ascii="宋体" w:hAnsi="宋体" w:cs="宋体"/>
                <w:szCs w:val="21"/>
                <w:highlight w:val="none"/>
              </w:rPr>
              <w:t>评审时间：</w:t>
            </w:r>
          </w:p>
        </w:tc>
      </w:tr>
    </w:tbl>
    <w:p w14:paraId="472BF100">
      <w:pPr>
        <w:autoSpaceDE w:val="0"/>
        <w:autoSpaceDN w:val="0"/>
        <w:adjustRightInd w:val="0"/>
        <w:rPr>
          <w:rFonts w:hint="eastAsia" w:ascii="宋体" w:hAnsi="宋体" w:cs="Arial"/>
          <w:szCs w:val="21"/>
          <w:highlight w:val="none"/>
        </w:rPr>
      </w:pPr>
      <w:r>
        <w:rPr>
          <w:rFonts w:hint="eastAsia" w:ascii="宋体" w:hAnsi="宋体" w:cs="Arial"/>
          <w:szCs w:val="21"/>
          <w:highlight w:val="none"/>
        </w:rPr>
        <w:t xml:space="preserve">备注：1、审查结论分为通过和未通过。对否定的审查指标，要提出充足的否定理由，并填写在符合性审查表上。供应商必须通过上述全部指标，否则响应文件无效。 </w:t>
      </w:r>
    </w:p>
    <w:p w14:paraId="7BC96603">
      <w:pPr>
        <w:autoSpaceDE w:val="0"/>
        <w:autoSpaceDN w:val="0"/>
        <w:adjustRightInd w:val="0"/>
        <w:rPr>
          <w:sz w:val="18"/>
          <w:szCs w:val="16"/>
          <w:highlight w:val="none"/>
        </w:rPr>
      </w:pPr>
      <w:r>
        <w:rPr>
          <w:rFonts w:hint="eastAsia" w:ascii="宋体" w:hAnsi="宋体" w:cs="Arial"/>
          <w:szCs w:val="21"/>
          <w:highlight w:val="none"/>
        </w:rPr>
        <w:t>2、所要求提供的相关证明文件，供应商应按磋商文件规定格式制作。</w:t>
      </w:r>
    </w:p>
    <w:p w14:paraId="785B7932">
      <w:pPr>
        <w:ind w:right="-4" w:rightChars="-2" w:firstLine="482" w:firstLineChars="200"/>
        <w:rPr>
          <w:rFonts w:hint="eastAsia" w:ascii="宋体" w:hAnsi="宋体" w:cs="宋体"/>
          <w:b/>
          <w:sz w:val="24"/>
          <w:szCs w:val="24"/>
          <w:highlight w:val="none"/>
        </w:rPr>
      </w:pPr>
    </w:p>
    <w:p w14:paraId="684579F5">
      <w:pPr>
        <w:ind w:right="-4" w:rightChars="-2" w:firstLine="482" w:firstLineChars="200"/>
        <w:rPr>
          <w:rFonts w:hint="eastAsia" w:ascii="宋体" w:hAnsi="宋体" w:cs="宋体"/>
          <w:b/>
          <w:sz w:val="24"/>
          <w:szCs w:val="24"/>
          <w:highlight w:val="none"/>
        </w:rPr>
      </w:pPr>
      <w:r>
        <w:rPr>
          <w:rFonts w:hint="eastAsia" w:ascii="宋体" w:hAnsi="宋体" w:cs="宋体"/>
          <w:b/>
          <w:sz w:val="24"/>
          <w:szCs w:val="24"/>
          <w:highlight w:val="none"/>
        </w:rPr>
        <w:t>六、详细评审表</w:t>
      </w:r>
    </w:p>
    <w:p w14:paraId="4C64A384">
      <w:pPr>
        <w:ind w:right="-4" w:rightChars="-2" w:firstLine="482" w:firstLineChars="200"/>
        <w:rPr>
          <w:rFonts w:hint="eastAsia" w:ascii="宋体" w:hAnsi="宋体" w:cs="宋体"/>
          <w:b/>
          <w:sz w:val="24"/>
          <w:szCs w:val="24"/>
          <w:highlight w:val="none"/>
        </w:rPr>
      </w:pPr>
    </w:p>
    <w:tbl>
      <w:tblPr>
        <w:tblStyle w:val="37"/>
        <w:tblW w:w="91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2"/>
        <w:gridCol w:w="1434"/>
        <w:gridCol w:w="6432"/>
      </w:tblGrid>
      <w:tr w14:paraId="180CA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62" w:type="dxa"/>
            <w:shd w:val="clear" w:color="auto" w:fill="F3F3F3"/>
            <w:vAlign w:val="center"/>
          </w:tcPr>
          <w:p w14:paraId="4BE1CDED">
            <w:pPr>
              <w:widowControl/>
              <w:spacing w:line="360" w:lineRule="auto"/>
              <w:jc w:val="center"/>
              <w:rPr>
                <w:rFonts w:hint="eastAsia" w:ascii="宋体" w:hAnsi="宋体" w:cs="宋体"/>
                <w:sz w:val="23"/>
                <w:szCs w:val="23"/>
                <w:highlight w:val="none"/>
                <w:shd w:val="clear" w:color="auto" w:fill="FFFFFF"/>
              </w:rPr>
            </w:pPr>
            <w:r>
              <w:rPr>
                <w:rFonts w:hint="eastAsia" w:ascii="宋体" w:hAnsi="宋体" w:cs="宋体"/>
                <w:sz w:val="23"/>
                <w:szCs w:val="23"/>
                <w:highlight w:val="none"/>
                <w:shd w:val="clear" w:color="auto" w:fill="FFFFFF"/>
              </w:rPr>
              <w:t>评分项目</w:t>
            </w:r>
          </w:p>
        </w:tc>
        <w:tc>
          <w:tcPr>
            <w:tcW w:w="1434" w:type="dxa"/>
            <w:shd w:val="clear" w:color="auto" w:fill="F3F3F3"/>
            <w:vAlign w:val="center"/>
          </w:tcPr>
          <w:p w14:paraId="30A5E82C">
            <w:pPr>
              <w:widowControl/>
              <w:spacing w:line="360" w:lineRule="auto"/>
              <w:jc w:val="center"/>
              <w:rPr>
                <w:rFonts w:hint="eastAsia" w:ascii="宋体" w:hAnsi="宋体" w:cs="宋体"/>
                <w:sz w:val="23"/>
                <w:szCs w:val="23"/>
                <w:highlight w:val="none"/>
                <w:shd w:val="clear" w:color="auto" w:fill="FFFFFF"/>
              </w:rPr>
            </w:pPr>
            <w:r>
              <w:rPr>
                <w:rFonts w:hint="eastAsia" w:ascii="宋体" w:hAnsi="宋体" w:cs="宋体"/>
                <w:sz w:val="23"/>
                <w:szCs w:val="23"/>
                <w:highlight w:val="none"/>
                <w:shd w:val="clear" w:color="auto" w:fill="FFFFFF"/>
              </w:rPr>
              <w:t>分项</w:t>
            </w:r>
          </w:p>
        </w:tc>
        <w:tc>
          <w:tcPr>
            <w:tcW w:w="6432" w:type="dxa"/>
            <w:shd w:val="clear" w:color="auto" w:fill="F3F3F3"/>
            <w:vAlign w:val="center"/>
          </w:tcPr>
          <w:p w14:paraId="67C8A91D">
            <w:pPr>
              <w:widowControl/>
              <w:spacing w:line="360" w:lineRule="auto"/>
              <w:jc w:val="center"/>
              <w:rPr>
                <w:rFonts w:hint="eastAsia" w:ascii="宋体" w:hAnsi="宋体" w:cs="宋体"/>
                <w:sz w:val="23"/>
                <w:szCs w:val="23"/>
                <w:highlight w:val="none"/>
                <w:shd w:val="clear" w:color="auto" w:fill="FFFFFF"/>
              </w:rPr>
            </w:pPr>
            <w:r>
              <w:rPr>
                <w:rFonts w:hint="eastAsia" w:ascii="宋体" w:hAnsi="宋体" w:cs="宋体"/>
                <w:sz w:val="23"/>
                <w:szCs w:val="23"/>
                <w:highlight w:val="none"/>
                <w:shd w:val="clear" w:color="auto" w:fill="FFFFFF"/>
              </w:rPr>
              <w:t>评标要点及说明</w:t>
            </w:r>
          </w:p>
        </w:tc>
      </w:tr>
      <w:tr w14:paraId="7E807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jc w:val="center"/>
        </w:trPr>
        <w:tc>
          <w:tcPr>
            <w:tcW w:w="1262" w:type="dxa"/>
            <w:vAlign w:val="center"/>
          </w:tcPr>
          <w:p w14:paraId="37B5FCED">
            <w:pPr>
              <w:widowControl/>
              <w:spacing w:line="360" w:lineRule="auto"/>
              <w:jc w:val="left"/>
              <w:rPr>
                <w:rFonts w:hint="eastAsia" w:ascii="宋体" w:hAnsi="宋体" w:cs="宋体"/>
                <w:sz w:val="23"/>
                <w:szCs w:val="23"/>
                <w:highlight w:val="none"/>
                <w:shd w:val="clear" w:color="auto" w:fill="FFFFFF"/>
              </w:rPr>
            </w:pPr>
            <w:r>
              <w:rPr>
                <w:rFonts w:hint="eastAsia" w:ascii="宋体" w:hAnsi="宋体" w:cs="宋体"/>
                <w:sz w:val="23"/>
                <w:szCs w:val="23"/>
                <w:highlight w:val="none"/>
                <w:shd w:val="clear" w:color="auto" w:fill="FFFFFF"/>
              </w:rPr>
              <w:t>响应报价</w:t>
            </w:r>
          </w:p>
          <w:p w14:paraId="5BB4D781">
            <w:pPr>
              <w:widowControl/>
              <w:spacing w:line="360" w:lineRule="auto"/>
              <w:jc w:val="left"/>
              <w:rPr>
                <w:rFonts w:ascii="宋体"/>
                <w:color w:val="000000"/>
                <w:szCs w:val="21"/>
                <w:highlight w:val="none"/>
              </w:rPr>
            </w:pPr>
            <w:r>
              <w:rPr>
                <w:rFonts w:hint="eastAsia" w:ascii="宋体" w:hAnsi="宋体" w:cs="宋体"/>
                <w:sz w:val="23"/>
                <w:szCs w:val="23"/>
                <w:highlight w:val="none"/>
                <w:shd w:val="clear" w:color="auto" w:fill="FFFFFF"/>
              </w:rPr>
              <w:t>（20分）</w:t>
            </w:r>
          </w:p>
        </w:tc>
        <w:tc>
          <w:tcPr>
            <w:tcW w:w="1434" w:type="dxa"/>
            <w:vAlign w:val="center"/>
          </w:tcPr>
          <w:p w14:paraId="43BC4DAC">
            <w:pPr>
              <w:widowControl/>
              <w:spacing w:line="360" w:lineRule="auto"/>
              <w:jc w:val="center"/>
              <w:rPr>
                <w:rFonts w:hint="eastAsia" w:ascii="宋体" w:hAnsi="宋体" w:cs="宋体"/>
                <w:sz w:val="23"/>
                <w:szCs w:val="23"/>
                <w:highlight w:val="none"/>
                <w:shd w:val="clear" w:color="auto" w:fill="FFFFFF"/>
              </w:rPr>
            </w:pPr>
            <w:r>
              <w:rPr>
                <w:rFonts w:hint="eastAsia" w:ascii="宋体" w:hAnsi="宋体" w:cs="宋体"/>
                <w:sz w:val="23"/>
                <w:szCs w:val="23"/>
                <w:highlight w:val="none"/>
                <w:shd w:val="clear" w:color="auto" w:fill="FFFFFF"/>
              </w:rPr>
              <w:t>报价</w:t>
            </w:r>
          </w:p>
          <w:p w14:paraId="29FCA936">
            <w:pPr>
              <w:widowControl/>
              <w:spacing w:line="360" w:lineRule="auto"/>
              <w:jc w:val="center"/>
              <w:rPr>
                <w:rFonts w:ascii="宋体"/>
                <w:color w:val="000000"/>
                <w:szCs w:val="21"/>
                <w:highlight w:val="none"/>
              </w:rPr>
            </w:pPr>
            <w:r>
              <w:rPr>
                <w:rFonts w:hint="eastAsia" w:ascii="宋体" w:hAnsi="宋体" w:cs="宋体"/>
                <w:sz w:val="23"/>
                <w:szCs w:val="23"/>
                <w:highlight w:val="none"/>
                <w:shd w:val="clear" w:color="auto" w:fill="FFFFFF"/>
              </w:rPr>
              <w:t>（20分）</w:t>
            </w:r>
          </w:p>
        </w:tc>
        <w:tc>
          <w:tcPr>
            <w:tcW w:w="6432" w:type="dxa"/>
            <w:vAlign w:val="center"/>
          </w:tcPr>
          <w:p w14:paraId="5CF43B68">
            <w:pPr>
              <w:widowControl/>
              <w:spacing w:line="360" w:lineRule="auto"/>
              <w:ind w:firstLine="460" w:firstLineChars="200"/>
              <w:jc w:val="left"/>
              <w:rPr>
                <w:rFonts w:hint="eastAsia" w:ascii="宋体" w:hAnsi="宋体" w:cs="宋体"/>
                <w:sz w:val="23"/>
                <w:szCs w:val="23"/>
                <w:highlight w:val="none"/>
                <w:shd w:val="clear" w:color="auto" w:fill="FFFFFF"/>
              </w:rPr>
            </w:pPr>
            <w:r>
              <w:rPr>
                <w:rFonts w:hint="eastAsia" w:ascii="宋体" w:hAnsi="宋体" w:cs="宋体"/>
                <w:sz w:val="23"/>
                <w:szCs w:val="23"/>
                <w:highlight w:val="none"/>
                <w:shd w:val="clear" w:color="auto" w:fill="FFFFFF"/>
              </w:rPr>
              <w:t>价格分统一采用低价优先法计算，即满足磋商文件要求且最终报价最低的供应商的价格为磋商基准价，其价格分为满分20分，其他合格供应商的价格分统一按照下列公式计算（小数点保留两位）：</w:t>
            </w:r>
          </w:p>
          <w:p w14:paraId="2097E6DD">
            <w:pPr>
              <w:widowControl/>
              <w:spacing w:line="360" w:lineRule="auto"/>
              <w:ind w:firstLine="460" w:firstLineChars="200"/>
              <w:jc w:val="left"/>
              <w:rPr>
                <w:rFonts w:ascii="宋体"/>
                <w:color w:val="000000"/>
                <w:szCs w:val="21"/>
                <w:highlight w:val="none"/>
              </w:rPr>
            </w:pPr>
            <w:r>
              <w:rPr>
                <w:rFonts w:hint="eastAsia" w:ascii="宋体" w:hAnsi="宋体" w:cs="宋体"/>
                <w:sz w:val="23"/>
                <w:szCs w:val="23"/>
                <w:highlight w:val="none"/>
                <w:shd w:val="clear" w:color="auto" w:fill="FFFFFF"/>
              </w:rPr>
              <w:t>磋商报价得分=（磋商基准价/最后磋商报价）×20</w:t>
            </w:r>
          </w:p>
        </w:tc>
      </w:tr>
      <w:tr w14:paraId="43591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7" w:hRule="atLeast"/>
          <w:jc w:val="center"/>
        </w:trPr>
        <w:tc>
          <w:tcPr>
            <w:tcW w:w="1262" w:type="dxa"/>
            <w:vMerge w:val="restart"/>
            <w:vAlign w:val="center"/>
          </w:tcPr>
          <w:p w14:paraId="17E580B9">
            <w:pPr>
              <w:spacing w:line="400" w:lineRule="exact"/>
              <w:ind w:right="-4" w:rightChars="-2"/>
              <w:rPr>
                <w:rFonts w:hint="eastAsia" w:ascii="宋体" w:hAnsi="宋体" w:cs="宋体"/>
                <w:sz w:val="23"/>
                <w:szCs w:val="23"/>
                <w:highlight w:val="none"/>
              </w:rPr>
            </w:pPr>
            <w:r>
              <w:rPr>
                <w:rFonts w:hint="eastAsia" w:ascii="宋体" w:hAnsi="宋体" w:cs="宋体"/>
                <w:sz w:val="23"/>
                <w:szCs w:val="23"/>
                <w:highlight w:val="none"/>
              </w:rPr>
              <w:t>商务部分（28分）</w:t>
            </w:r>
          </w:p>
        </w:tc>
        <w:tc>
          <w:tcPr>
            <w:tcW w:w="1434" w:type="dxa"/>
            <w:tcBorders>
              <w:bottom w:val="single" w:color="auto" w:sz="4" w:space="0"/>
            </w:tcBorders>
            <w:vAlign w:val="center"/>
          </w:tcPr>
          <w:p w14:paraId="5A880256">
            <w:pPr>
              <w:spacing w:line="400" w:lineRule="exact"/>
              <w:ind w:right="-4" w:rightChars="-2"/>
              <w:rPr>
                <w:rFonts w:hint="eastAsia" w:ascii="宋体" w:hAnsi="宋体" w:cs="宋体"/>
                <w:bCs/>
                <w:sz w:val="23"/>
                <w:szCs w:val="23"/>
                <w:highlight w:val="none"/>
              </w:rPr>
            </w:pPr>
            <w:r>
              <w:rPr>
                <w:rFonts w:hint="eastAsia" w:ascii="宋体" w:hAnsi="宋体" w:cs="宋体"/>
                <w:bCs/>
                <w:sz w:val="23"/>
                <w:szCs w:val="23"/>
                <w:highlight w:val="none"/>
              </w:rPr>
              <w:t>企业业绩（12分）</w:t>
            </w:r>
          </w:p>
        </w:tc>
        <w:tc>
          <w:tcPr>
            <w:tcW w:w="6432" w:type="dxa"/>
            <w:tcBorders>
              <w:bottom w:val="single" w:color="auto" w:sz="4" w:space="0"/>
            </w:tcBorders>
            <w:vAlign w:val="center"/>
          </w:tcPr>
          <w:p w14:paraId="62F7482E">
            <w:pPr>
              <w:widowControl/>
              <w:spacing w:line="360" w:lineRule="auto"/>
              <w:ind w:firstLine="460" w:firstLineChars="200"/>
              <w:jc w:val="left"/>
              <w:rPr>
                <w:rFonts w:hint="eastAsia" w:ascii="宋体" w:hAnsi="宋体" w:cs="宋体"/>
                <w:sz w:val="23"/>
                <w:szCs w:val="23"/>
                <w:highlight w:val="none"/>
                <w:shd w:val="clear" w:color="auto" w:fill="FFFFFF"/>
              </w:rPr>
            </w:pPr>
            <w:r>
              <w:rPr>
                <w:rFonts w:hint="eastAsia" w:ascii="宋体" w:hAnsi="宋体" w:cs="宋体"/>
                <w:sz w:val="23"/>
                <w:szCs w:val="23"/>
                <w:highlight w:val="none"/>
                <w:shd w:val="clear" w:color="auto" w:fill="FFFFFF"/>
              </w:rPr>
              <w:t>自2021年1月1日至响应截止日，供应商具有房屋建筑工程监理业绩的，每提供一个得6分，本项最高得12分；时间以项目竣工验收报告时间为准。</w:t>
            </w:r>
          </w:p>
          <w:p w14:paraId="2ECE81DF">
            <w:pPr>
              <w:widowControl/>
              <w:spacing w:line="360" w:lineRule="auto"/>
              <w:ind w:firstLine="460" w:firstLineChars="200"/>
              <w:jc w:val="left"/>
              <w:rPr>
                <w:rFonts w:hint="eastAsia" w:ascii="宋体" w:hAnsi="宋体" w:cs="宋体"/>
                <w:sz w:val="23"/>
                <w:szCs w:val="23"/>
                <w:highlight w:val="none"/>
                <w:shd w:val="clear" w:color="auto" w:fill="FFFFFF"/>
              </w:rPr>
            </w:pPr>
            <w:r>
              <w:rPr>
                <w:rFonts w:hint="eastAsia" w:ascii="宋体" w:hAnsi="宋体" w:cs="宋体"/>
                <w:sz w:val="23"/>
                <w:szCs w:val="23"/>
                <w:highlight w:val="none"/>
                <w:shd w:val="clear" w:color="auto" w:fill="FFFFFF"/>
              </w:rPr>
              <w:t>注：业绩需提供监理合同或成交通知书，同时提供竣工验收报告，竣工验收报告应具备建设、施工、监理、设计单位四方盖章，业绩时间以竣工验收报告记载的时间为准。要求提供的上述材料能体现业绩要求的全部内容信息，若无法体现上述内容的，则另须提供项目业主单位出具的业绩证明，否则不予认可</w:t>
            </w:r>
            <w:r>
              <w:rPr>
                <w:rFonts w:hint="eastAsia" w:ascii="宋体" w:hAnsi="宋体" w:cs="宋体"/>
                <w:sz w:val="23"/>
                <w:szCs w:val="23"/>
                <w:highlight w:val="none"/>
              </w:rPr>
              <w:t>。注：评标委员会按响应文件编排先后顺序，仅评审招标文件规定的业绩数量（磋商文件规定业绩不超过3个，不论前3个业绩是否得分，均不评审第4个业绩）。</w:t>
            </w:r>
          </w:p>
        </w:tc>
      </w:tr>
      <w:tr w14:paraId="02609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262" w:type="dxa"/>
            <w:vMerge w:val="continue"/>
            <w:vAlign w:val="center"/>
          </w:tcPr>
          <w:p w14:paraId="22503AB0">
            <w:pPr>
              <w:spacing w:line="400" w:lineRule="exact"/>
              <w:ind w:right="-4" w:rightChars="-2"/>
              <w:rPr>
                <w:rFonts w:hint="eastAsia" w:ascii="宋体" w:hAnsi="宋体" w:cs="宋体"/>
                <w:color w:val="000000"/>
                <w:szCs w:val="21"/>
                <w:highlight w:val="none"/>
              </w:rPr>
            </w:pPr>
          </w:p>
        </w:tc>
        <w:tc>
          <w:tcPr>
            <w:tcW w:w="1434" w:type="dxa"/>
            <w:tcBorders>
              <w:bottom w:val="single" w:color="auto" w:sz="4" w:space="0"/>
            </w:tcBorders>
            <w:vAlign w:val="center"/>
          </w:tcPr>
          <w:p w14:paraId="7AE84315">
            <w:pPr>
              <w:spacing w:line="400" w:lineRule="exact"/>
              <w:ind w:right="-4" w:rightChars="-2"/>
              <w:rPr>
                <w:rFonts w:hint="eastAsia" w:ascii="宋体" w:hAnsi="宋体" w:cs="宋体"/>
                <w:color w:val="000000"/>
                <w:szCs w:val="21"/>
                <w:highlight w:val="none"/>
              </w:rPr>
            </w:pPr>
            <w:r>
              <w:rPr>
                <w:rFonts w:hint="eastAsia" w:ascii="宋体" w:hAnsi="宋体" w:cs="宋体"/>
                <w:bCs/>
                <w:sz w:val="23"/>
                <w:szCs w:val="23"/>
                <w:highlight w:val="none"/>
              </w:rPr>
              <w:t>项目负责人（总监）业绩（6分）</w:t>
            </w:r>
          </w:p>
        </w:tc>
        <w:tc>
          <w:tcPr>
            <w:tcW w:w="6432" w:type="dxa"/>
            <w:tcBorders>
              <w:bottom w:val="single" w:color="auto" w:sz="4" w:space="0"/>
            </w:tcBorders>
            <w:vAlign w:val="center"/>
          </w:tcPr>
          <w:p w14:paraId="3B6271F8">
            <w:pPr>
              <w:widowControl/>
              <w:spacing w:line="360" w:lineRule="auto"/>
              <w:ind w:firstLine="460" w:firstLineChars="200"/>
              <w:jc w:val="left"/>
              <w:rPr>
                <w:rFonts w:hint="eastAsia" w:ascii="宋体" w:hAnsi="宋体" w:cs="宋体"/>
                <w:sz w:val="23"/>
                <w:szCs w:val="23"/>
                <w:highlight w:val="none"/>
                <w:shd w:val="clear" w:color="auto" w:fill="FFFFFF"/>
              </w:rPr>
            </w:pPr>
            <w:r>
              <w:rPr>
                <w:rFonts w:hint="eastAsia" w:ascii="宋体" w:hAnsi="宋体" w:cs="宋体"/>
                <w:sz w:val="23"/>
                <w:szCs w:val="23"/>
                <w:highlight w:val="none"/>
                <w:shd w:val="clear" w:color="auto" w:fill="FFFFFF"/>
              </w:rPr>
              <w:t>自2021年1月1日至响应截止日，项目负责人（总监）以项目负责人（总监）身份完成过房屋建筑工程监理业绩的，每提供一个得6分，本项最高得6分；时间以项目竣工验收报告时间为准。</w:t>
            </w:r>
          </w:p>
          <w:p w14:paraId="4ABAFBF4">
            <w:pPr>
              <w:spacing w:line="400" w:lineRule="exact"/>
              <w:ind w:right="-4" w:rightChars="-2" w:firstLine="460" w:firstLineChars="200"/>
              <w:rPr>
                <w:rFonts w:ascii="宋体"/>
                <w:color w:val="000000"/>
                <w:szCs w:val="21"/>
                <w:highlight w:val="none"/>
              </w:rPr>
            </w:pPr>
            <w:r>
              <w:rPr>
                <w:rFonts w:hint="eastAsia" w:ascii="宋体" w:hAnsi="宋体" w:cs="宋体"/>
                <w:sz w:val="23"/>
                <w:szCs w:val="23"/>
                <w:highlight w:val="none"/>
                <w:shd w:val="clear" w:color="auto" w:fill="FFFFFF"/>
              </w:rPr>
              <w:t>注：业绩需提供监理合同或成交通知书，同时提供竣工验收报告，竣工验收报告应具备建设、施工、监理、设计单位四方盖章，业绩时间以竣工验收报告记载的时间为准。要求提供的上述材料能体现业绩要求的全部内容信息，若无法体现上述内容的，则另须提供项目业主单位出具的业绩证明，否则不予认可</w:t>
            </w:r>
            <w:r>
              <w:rPr>
                <w:rFonts w:hint="eastAsia" w:ascii="宋体" w:hAnsi="宋体" w:cs="宋体"/>
                <w:sz w:val="23"/>
                <w:szCs w:val="23"/>
                <w:highlight w:val="none"/>
              </w:rPr>
              <w:t>。注：评标委员会按响应文件编排先后顺序，仅评审招标文件规定的业绩数量（磋商文件规定业绩不超过3个，不论前3个业绩是否得分，均不评审第4个业绩）。</w:t>
            </w:r>
          </w:p>
        </w:tc>
      </w:tr>
      <w:tr w14:paraId="2BEE3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1262" w:type="dxa"/>
            <w:vMerge w:val="continue"/>
            <w:vAlign w:val="center"/>
          </w:tcPr>
          <w:p w14:paraId="4E827A24">
            <w:pPr>
              <w:spacing w:line="400" w:lineRule="exact"/>
              <w:ind w:right="-4" w:rightChars="-2"/>
              <w:rPr>
                <w:rFonts w:hint="eastAsia" w:ascii="宋体" w:hAnsi="宋体" w:cs="宋体"/>
                <w:sz w:val="23"/>
                <w:szCs w:val="23"/>
                <w:highlight w:val="none"/>
              </w:rPr>
            </w:pPr>
          </w:p>
        </w:tc>
        <w:tc>
          <w:tcPr>
            <w:tcW w:w="1434" w:type="dxa"/>
            <w:tcBorders>
              <w:top w:val="single" w:color="auto" w:sz="4" w:space="0"/>
            </w:tcBorders>
            <w:vAlign w:val="center"/>
          </w:tcPr>
          <w:p w14:paraId="7E948F7E">
            <w:pPr>
              <w:spacing w:line="400" w:lineRule="exact"/>
              <w:ind w:right="-4" w:rightChars="-2"/>
              <w:rPr>
                <w:rFonts w:hint="eastAsia" w:ascii="宋体" w:hAnsi="宋体" w:cs="宋体"/>
                <w:sz w:val="23"/>
                <w:szCs w:val="23"/>
                <w:highlight w:val="none"/>
              </w:rPr>
            </w:pPr>
            <w:r>
              <w:rPr>
                <w:rFonts w:hint="eastAsia" w:ascii="宋体" w:hAnsi="宋体" w:cs="宋体"/>
                <w:sz w:val="23"/>
                <w:szCs w:val="23"/>
                <w:highlight w:val="none"/>
              </w:rPr>
              <w:t>监理工程师</w:t>
            </w:r>
          </w:p>
          <w:p w14:paraId="2451D281">
            <w:pPr>
              <w:spacing w:line="400" w:lineRule="exact"/>
              <w:ind w:right="-4" w:rightChars="-2"/>
              <w:rPr>
                <w:rFonts w:hint="eastAsia" w:ascii="宋体" w:hAnsi="宋体" w:cs="宋体"/>
                <w:color w:val="000000"/>
                <w:szCs w:val="21"/>
                <w:highlight w:val="none"/>
              </w:rPr>
            </w:pPr>
            <w:r>
              <w:rPr>
                <w:rFonts w:hint="eastAsia" w:ascii="宋体" w:hAnsi="宋体" w:cs="宋体"/>
                <w:sz w:val="23"/>
                <w:szCs w:val="23"/>
                <w:highlight w:val="none"/>
              </w:rPr>
              <w:t>（10分）</w:t>
            </w:r>
          </w:p>
        </w:tc>
        <w:tc>
          <w:tcPr>
            <w:tcW w:w="6432" w:type="dxa"/>
            <w:tcBorders>
              <w:top w:val="single" w:color="auto" w:sz="4" w:space="0"/>
            </w:tcBorders>
            <w:vAlign w:val="center"/>
          </w:tcPr>
          <w:p w14:paraId="720570E8">
            <w:pPr>
              <w:spacing w:line="400" w:lineRule="exact"/>
              <w:ind w:right="-4" w:rightChars="-2" w:firstLine="460" w:firstLineChars="200"/>
              <w:rPr>
                <w:rFonts w:hint="eastAsia" w:ascii="宋体" w:hAnsi="宋体" w:cs="宋体"/>
                <w:sz w:val="23"/>
                <w:szCs w:val="23"/>
                <w:highlight w:val="none"/>
                <w:shd w:val="clear" w:color="auto" w:fill="FFFFFF"/>
              </w:rPr>
            </w:pPr>
            <w:r>
              <w:rPr>
                <w:rFonts w:hint="eastAsia" w:ascii="宋体" w:hAnsi="宋体" w:cs="宋体"/>
                <w:sz w:val="23"/>
                <w:szCs w:val="23"/>
                <w:highlight w:val="none"/>
                <w:shd w:val="clear" w:color="auto" w:fill="FFFFFF"/>
              </w:rPr>
              <w:t>1.拟派驻人员具有工程师职称的，得5分，本小项满分5分。</w:t>
            </w:r>
          </w:p>
          <w:p w14:paraId="55C97083">
            <w:pPr>
              <w:spacing w:line="400" w:lineRule="exact"/>
              <w:ind w:right="-4" w:rightChars="-2" w:firstLine="460" w:firstLineChars="200"/>
              <w:rPr>
                <w:rFonts w:hint="eastAsia" w:ascii="宋体" w:hAnsi="宋体" w:cs="宋体"/>
                <w:sz w:val="23"/>
                <w:szCs w:val="23"/>
                <w:highlight w:val="none"/>
                <w:shd w:val="clear" w:color="auto" w:fill="FFFFFF"/>
              </w:rPr>
            </w:pPr>
            <w:r>
              <w:rPr>
                <w:rFonts w:hint="eastAsia" w:ascii="宋体" w:hAnsi="宋体" w:cs="宋体"/>
                <w:sz w:val="23"/>
                <w:szCs w:val="23"/>
                <w:highlight w:val="none"/>
                <w:shd w:val="clear" w:color="auto" w:fill="FFFFFF"/>
              </w:rPr>
              <w:t>2.拟派人员增加一名国家注册监理工程师的，得5分，本小项满分5分。注：须提供监理机构相关人员证书、职称复印件及自本项目开标之日前半年任意1个月社保缴费清单或其他能够证明拟委任的项目人员参加社保的有效材料，退休人员需提供相关证明文件。</w:t>
            </w:r>
          </w:p>
        </w:tc>
      </w:tr>
      <w:tr w14:paraId="13574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4" w:hRule="atLeast"/>
          <w:jc w:val="center"/>
        </w:trPr>
        <w:tc>
          <w:tcPr>
            <w:tcW w:w="1262" w:type="dxa"/>
            <w:vMerge w:val="restart"/>
            <w:vAlign w:val="center"/>
          </w:tcPr>
          <w:p w14:paraId="6BF661C4">
            <w:pPr>
              <w:spacing w:line="400" w:lineRule="exact"/>
              <w:jc w:val="center"/>
              <w:rPr>
                <w:rFonts w:hint="eastAsia" w:ascii="宋体" w:hAnsi="宋体" w:cs="宋体"/>
                <w:color w:val="000000"/>
                <w:szCs w:val="21"/>
                <w:highlight w:val="none"/>
              </w:rPr>
            </w:pPr>
            <w:r>
              <w:rPr>
                <w:rFonts w:hint="eastAsia" w:ascii="宋体" w:hAnsi="宋体" w:cs="宋体"/>
                <w:sz w:val="23"/>
                <w:szCs w:val="23"/>
                <w:highlight w:val="none"/>
              </w:rPr>
              <w:t>监理大纲（52分）</w:t>
            </w:r>
          </w:p>
        </w:tc>
        <w:tc>
          <w:tcPr>
            <w:tcW w:w="1434" w:type="dxa"/>
            <w:vAlign w:val="center"/>
          </w:tcPr>
          <w:p w14:paraId="66119B0E">
            <w:pPr>
              <w:spacing w:line="400" w:lineRule="exact"/>
              <w:jc w:val="center"/>
              <w:rPr>
                <w:rFonts w:hint="default" w:eastAsia="宋体"/>
                <w:color w:val="000000"/>
                <w:highlight w:val="none"/>
                <w:lang w:val="en-US" w:eastAsia="zh-CN"/>
              </w:rPr>
            </w:pPr>
            <w:r>
              <w:rPr>
                <w:rFonts w:hint="eastAsia" w:ascii="宋体" w:hAnsi="宋体" w:cs="宋体"/>
                <w:sz w:val="23"/>
                <w:szCs w:val="23"/>
                <w:highlight w:val="none"/>
              </w:rPr>
              <w:t>内容的完整性和针对性</w:t>
            </w:r>
            <w:r>
              <w:rPr>
                <w:rFonts w:hint="eastAsia" w:ascii="宋体" w:hAnsi="宋体" w:cs="宋体"/>
                <w:sz w:val="23"/>
                <w:szCs w:val="23"/>
                <w:highlight w:val="none"/>
                <w:lang w:eastAsia="zh-CN"/>
              </w:rPr>
              <w:t>（</w:t>
            </w:r>
            <w:r>
              <w:rPr>
                <w:rFonts w:hint="eastAsia" w:ascii="宋体" w:hAnsi="宋体" w:cs="宋体"/>
                <w:sz w:val="23"/>
                <w:szCs w:val="23"/>
                <w:highlight w:val="none"/>
                <w:lang w:val="en-US" w:eastAsia="zh-CN"/>
              </w:rPr>
              <w:t>8分）</w:t>
            </w:r>
          </w:p>
        </w:tc>
        <w:tc>
          <w:tcPr>
            <w:tcW w:w="6432" w:type="dxa"/>
            <w:vAlign w:val="center"/>
          </w:tcPr>
          <w:p w14:paraId="4C7655DB">
            <w:pPr>
              <w:widowControl/>
              <w:snapToGrid w:val="0"/>
              <w:spacing w:line="360" w:lineRule="auto"/>
              <w:ind w:firstLine="460" w:firstLineChars="200"/>
              <w:jc w:val="left"/>
              <w:rPr>
                <w:rFonts w:hint="eastAsia" w:ascii="宋体" w:hAnsi="宋体" w:cs="宋体"/>
                <w:sz w:val="23"/>
                <w:szCs w:val="23"/>
                <w:highlight w:val="none"/>
              </w:rPr>
            </w:pPr>
            <w:r>
              <w:rPr>
                <w:rFonts w:hint="eastAsia" w:ascii="宋体" w:hAnsi="宋体" w:cs="宋体"/>
                <w:sz w:val="23"/>
                <w:szCs w:val="23"/>
                <w:highlight w:val="none"/>
              </w:rPr>
              <w:t>目标明确，内容完整，针对性强。各分部分项工程监理，从准备、施工、竣工验收各主要工序，应具体阐述监理工作计划及其拟采用的监理方法和控制措施以及需要实现的监理效果。</w:t>
            </w:r>
          </w:p>
          <w:p w14:paraId="72C8905E">
            <w:pPr>
              <w:spacing w:line="400" w:lineRule="exact"/>
              <w:ind w:firstLine="460" w:firstLineChars="200"/>
              <w:rPr>
                <w:color w:val="000000"/>
                <w:highlight w:val="none"/>
              </w:rPr>
            </w:pPr>
            <w:r>
              <w:rPr>
                <w:rFonts w:hint="eastAsia" w:ascii="宋体" w:hAnsi="宋体" w:cs="宋体"/>
                <w:sz w:val="23"/>
                <w:szCs w:val="23"/>
                <w:highlight w:val="none"/>
              </w:rPr>
              <w:t>优秀的得6.1～8.0分，良好的得4.1～6.0分，一般的得0.1～4.0分，差或未提供不得分。</w:t>
            </w:r>
          </w:p>
        </w:tc>
      </w:tr>
      <w:tr w14:paraId="0E691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4" w:hRule="atLeast"/>
          <w:jc w:val="center"/>
        </w:trPr>
        <w:tc>
          <w:tcPr>
            <w:tcW w:w="1262" w:type="dxa"/>
            <w:vMerge w:val="continue"/>
            <w:vAlign w:val="center"/>
          </w:tcPr>
          <w:p w14:paraId="17A0033E">
            <w:pPr>
              <w:spacing w:line="400" w:lineRule="exact"/>
              <w:jc w:val="center"/>
              <w:rPr>
                <w:rFonts w:ascii="宋体"/>
                <w:color w:val="000000"/>
                <w:szCs w:val="21"/>
                <w:highlight w:val="none"/>
              </w:rPr>
            </w:pPr>
          </w:p>
        </w:tc>
        <w:tc>
          <w:tcPr>
            <w:tcW w:w="1434" w:type="dxa"/>
            <w:vAlign w:val="center"/>
          </w:tcPr>
          <w:p w14:paraId="70A92435">
            <w:pPr>
              <w:spacing w:line="400" w:lineRule="exact"/>
              <w:jc w:val="center"/>
              <w:rPr>
                <w:rFonts w:ascii="宋体"/>
                <w:color w:val="000000"/>
                <w:szCs w:val="21"/>
                <w:highlight w:val="none"/>
              </w:rPr>
            </w:pPr>
            <w:r>
              <w:rPr>
                <w:rFonts w:hint="eastAsia" w:ascii="宋体" w:hAnsi="宋体" w:cs="宋体"/>
                <w:sz w:val="23"/>
                <w:szCs w:val="23"/>
                <w:highlight w:val="none"/>
              </w:rPr>
              <w:t>关键部位监理方案可行性</w:t>
            </w:r>
            <w:r>
              <w:rPr>
                <w:rFonts w:hint="eastAsia" w:ascii="宋体" w:hAnsi="宋体" w:cs="宋体"/>
                <w:sz w:val="23"/>
                <w:szCs w:val="23"/>
                <w:highlight w:val="none"/>
                <w:lang w:eastAsia="zh-CN"/>
              </w:rPr>
              <w:t>（</w:t>
            </w:r>
            <w:r>
              <w:rPr>
                <w:rFonts w:hint="eastAsia" w:ascii="宋体" w:hAnsi="宋体" w:cs="宋体"/>
                <w:sz w:val="23"/>
                <w:szCs w:val="23"/>
                <w:highlight w:val="none"/>
                <w:lang w:val="en-US" w:eastAsia="zh-CN"/>
              </w:rPr>
              <w:t>8分）</w:t>
            </w:r>
          </w:p>
        </w:tc>
        <w:tc>
          <w:tcPr>
            <w:tcW w:w="6432" w:type="dxa"/>
            <w:vAlign w:val="center"/>
          </w:tcPr>
          <w:p w14:paraId="23DEF86C">
            <w:pPr>
              <w:widowControl/>
              <w:snapToGrid w:val="0"/>
              <w:spacing w:line="360" w:lineRule="auto"/>
              <w:ind w:firstLine="460" w:firstLineChars="200"/>
              <w:jc w:val="left"/>
              <w:rPr>
                <w:rFonts w:hint="eastAsia" w:ascii="宋体" w:hAnsi="宋体" w:cs="宋体"/>
                <w:sz w:val="23"/>
                <w:szCs w:val="23"/>
                <w:highlight w:val="none"/>
              </w:rPr>
            </w:pPr>
            <w:r>
              <w:rPr>
                <w:rFonts w:hint="eastAsia" w:ascii="宋体" w:hAnsi="宋体" w:cs="宋体"/>
                <w:sz w:val="23"/>
                <w:szCs w:val="23"/>
                <w:highlight w:val="none"/>
              </w:rPr>
              <w:t>质量安全控制方案针对性强、质量通病防治阐述清晰，相应的施工、监理难点和要点分析准确，计划采取的监理方法得当、措施得力，有可行的监理方案。</w:t>
            </w:r>
          </w:p>
          <w:p w14:paraId="3BED01C1">
            <w:pPr>
              <w:widowControl/>
              <w:snapToGrid w:val="0"/>
              <w:spacing w:line="360" w:lineRule="auto"/>
              <w:ind w:firstLine="460" w:firstLineChars="200"/>
              <w:jc w:val="left"/>
              <w:rPr>
                <w:rFonts w:ascii="宋体"/>
                <w:color w:val="000000"/>
                <w:szCs w:val="21"/>
                <w:highlight w:val="none"/>
              </w:rPr>
            </w:pPr>
            <w:r>
              <w:rPr>
                <w:rFonts w:hint="eastAsia" w:ascii="宋体" w:hAnsi="宋体" w:cs="宋体"/>
                <w:sz w:val="23"/>
                <w:szCs w:val="23"/>
                <w:highlight w:val="none"/>
              </w:rPr>
              <w:t>优秀的得6.1～8.0分，良好的得4.1～6.0分，一般的得0.1～4.0分，差或未提供不得分。</w:t>
            </w:r>
          </w:p>
        </w:tc>
      </w:tr>
      <w:tr w14:paraId="6864C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8" w:hRule="atLeast"/>
          <w:jc w:val="center"/>
        </w:trPr>
        <w:tc>
          <w:tcPr>
            <w:tcW w:w="1262" w:type="dxa"/>
            <w:vMerge w:val="continue"/>
            <w:vAlign w:val="center"/>
          </w:tcPr>
          <w:p w14:paraId="71A2A57E">
            <w:pPr>
              <w:spacing w:line="400" w:lineRule="exact"/>
              <w:jc w:val="center"/>
              <w:rPr>
                <w:rFonts w:hint="eastAsia" w:ascii="宋体" w:hAnsi="宋体" w:cs="宋体"/>
                <w:color w:val="000000"/>
                <w:szCs w:val="21"/>
                <w:highlight w:val="none"/>
              </w:rPr>
            </w:pPr>
          </w:p>
        </w:tc>
        <w:tc>
          <w:tcPr>
            <w:tcW w:w="1434" w:type="dxa"/>
            <w:vAlign w:val="center"/>
          </w:tcPr>
          <w:p w14:paraId="639C8254">
            <w:pPr>
              <w:spacing w:line="400" w:lineRule="exact"/>
              <w:jc w:val="center"/>
              <w:rPr>
                <w:rFonts w:hint="eastAsia" w:ascii="宋体" w:hAnsi="宋体" w:cs="宋体"/>
                <w:sz w:val="23"/>
                <w:szCs w:val="23"/>
                <w:highlight w:val="none"/>
              </w:rPr>
            </w:pPr>
            <w:r>
              <w:rPr>
                <w:rFonts w:hint="eastAsia" w:ascii="宋体" w:hAnsi="宋体" w:cs="宋体"/>
                <w:sz w:val="23"/>
                <w:szCs w:val="23"/>
                <w:highlight w:val="none"/>
              </w:rPr>
              <w:t>质量控制</w:t>
            </w:r>
          </w:p>
          <w:p w14:paraId="07B3C438">
            <w:pPr>
              <w:spacing w:line="400" w:lineRule="exact"/>
              <w:jc w:val="center"/>
              <w:rPr>
                <w:rFonts w:ascii="宋体"/>
                <w:color w:val="000000"/>
                <w:szCs w:val="21"/>
                <w:highlight w:val="none"/>
              </w:rPr>
            </w:pPr>
            <w:r>
              <w:rPr>
                <w:rFonts w:hint="eastAsia" w:ascii="宋体" w:hAnsi="宋体" w:cs="宋体"/>
                <w:sz w:val="23"/>
                <w:szCs w:val="23"/>
                <w:highlight w:val="none"/>
                <w:lang w:eastAsia="zh-CN"/>
              </w:rPr>
              <w:t>（</w:t>
            </w:r>
            <w:r>
              <w:rPr>
                <w:rFonts w:hint="eastAsia" w:ascii="宋体" w:hAnsi="宋体" w:cs="宋体"/>
                <w:sz w:val="23"/>
                <w:szCs w:val="23"/>
                <w:highlight w:val="none"/>
                <w:lang w:val="en-US" w:eastAsia="zh-CN"/>
              </w:rPr>
              <w:t>8分）</w:t>
            </w:r>
          </w:p>
        </w:tc>
        <w:tc>
          <w:tcPr>
            <w:tcW w:w="6432" w:type="dxa"/>
            <w:vAlign w:val="center"/>
          </w:tcPr>
          <w:p w14:paraId="167B4C1F">
            <w:pPr>
              <w:widowControl/>
              <w:snapToGrid w:val="0"/>
              <w:spacing w:line="360" w:lineRule="auto"/>
              <w:ind w:firstLine="460" w:firstLineChars="200"/>
              <w:jc w:val="left"/>
              <w:rPr>
                <w:rFonts w:hint="eastAsia" w:ascii="宋体" w:hAnsi="宋体" w:cs="宋体"/>
                <w:sz w:val="23"/>
                <w:szCs w:val="23"/>
                <w:highlight w:val="none"/>
              </w:rPr>
            </w:pPr>
            <w:r>
              <w:rPr>
                <w:rFonts w:hint="eastAsia" w:ascii="宋体" w:hAnsi="宋体" w:cs="宋体"/>
                <w:sz w:val="23"/>
                <w:szCs w:val="23"/>
                <w:highlight w:val="none"/>
              </w:rPr>
              <w:t>质量控制目标明确、方法得当、措施得力，各分部分项工程的主要施工工序、质量控制应有具体的方法和措施，且可行。</w:t>
            </w:r>
          </w:p>
          <w:p w14:paraId="13240872">
            <w:pPr>
              <w:spacing w:line="400" w:lineRule="exact"/>
              <w:ind w:firstLine="460" w:firstLineChars="200"/>
              <w:rPr>
                <w:rFonts w:ascii="宋体"/>
                <w:color w:val="000000"/>
                <w:szCs w:val="21"/>
                <w:highlight w:val="none"/>
              </w:rPr>
            </w:pPr>
            <w:r>
              <w:rPr>
                <w:rFonts w:hint="eastAsia" w:ascii="宋体" w:hAnsi="宋体" w:cs="宋体"/>
                <w:sz w:val="23"/>
                <w:szCs w:val="23"/>
                <w:highlight w:val="none"/>
              </w:rPr>
              <w:t>优秀的得6.1～8.0分，良好的得4.1～6.0分，一般的得0.1～4.0分，差或未提供不得分。</w:t>
            </w:r>
          </w:p>
        </w:tc>
      </w:tr>
      <w:tr w14:paraId="63F85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262" w:type="dxa"/>
            <w:vMerge w:val="continue"/>
            <w:vAlign w:val="center"/>
          </w:tcPr>
          <w:p w14:paraId="7D190782">
            <w:pPr>
              <w:spacing w:line="400" w:lineRule="exact"/>
              <w:jc w:val="center"/>
              <w:rPr>
                <w:rFonts w:ascii="宋体" w:cs="宋体"/>
                <w:color w:val="000000"/>
                <w:szCs w:val="21"/>
                <w:highlight w:val="none"/>
              </w:rPr>
            </w:pPr>
          </w:p>
        </w:tc>
        <w:tc>
          <w:tcPr>
            <w:tcW w:w="1434" w:type="dxa"/>
            <w:vAlign w:val="center"/>
          </w:tcPr>
          <w:p w14:paraId="7C4E78A3">
            <w:pPr>
              <w:spacing w:line="400" w:lineRule="exact"/>
              <w:jc w:val="center"/>
              <w:rPr>
                <w:rFonts w:hint="eastAsia" w:ascii="宋体" w:hAnsi="宋体" w:cs="宋体"/>
                <w:sz w:val="23"/>
                <w:szCs w:val="23"/>
                <w:highlight w:val="none"/>
              </w:rPr>
            </w:pPr>
            <w:r>
              <w:rPr>
                <w:rFonts w:hint="eastAsia" w:ascii="宋体" w:hAnsi="宋体" w:cs="宋体"/>
                <w:sz w:val="23"/>
                <w:szCs w:val="23"/>
                <w:highlight w:val="none"/>
              </w:rPr>
              <w:t>安全控制</w:t>
            </w:r>
          </w:p>
          <w:p w14:paraId="4442109F">
            <w:pPr>
              <w:spacing w:line="400" w:lineRule="exact"/>
              <w:jc w:val="center"/>
              <w:rPr>
                <w:rFonts w:ascii="宋体"/>
                <w:color w:val="000000"/>
                <w:szCs w:val="21"/>
                <w:highlight w:val="none"/>
              </w:rPr>
            </w:pPr>
            <w:r>
              <w:rPr>
                <w:rFonts w:hint="eastAsia" w:ascii="宋体" w:hAnsi="宋体" w:cs="宋体"/>
                <w:sz w:val="23"/>
                <w:szCs w:val="23"/>
                <w:highlight w:val="none"/>
                <w:lang w:eastAsia="zh-CN"/>
              </w:rPr>
              <w:t>（</w:t>
            </w:r>
            <w:r>
              <w:rPr>
                <w:rFonts w:hint="eastAsia" w:ascii="宋体" w:hAnsi="宋体" w:cs="宋体"/>
                <w:sz w:val="23"/>
                <w:szCs w:val="23"/>
                <w:highlight w:val="none"/>
                <w:lang w:val="en-US" w:eastAsia="zh-CN"/>
              </w:rPr>
              <w:t>8分）</w:t>
            </w:r>
          </w:p>
        </w:tc>
        <w:tc>
          <w:tcPr>
            <w:tcW w:w="6432" w:type="dxa"/>
            <w:vAlign w:val="center"/>
          </w:tcPr>
          <w:p w14:paraId="35846A1F">
            <w:pPr>
              <w:widowControl/>
              <w:snapToGrid w:val="0"/>
              <w:spacing w:line="360" w:lineRule="auto"/>
              <w:ind w:firstLine="460" w:firstLineChars="200"/>
              <w:jc w:val="left"/>
              <w:rPr>
                <w:rFonts w:hint="eastAsia" w:ascii="宋体" w:hAnsi="宋体" w:cs="宋体"/>
                <w:sz w:val="23"/>
                <w:szCs w:val="23"/>
                <w:highlight w:val="none"/>
              </w:rPr>
            </w:pPr>
            <w:r>
              <w:rPr>
                <w:rFonts w:hint="eastAsia" w:ascii="宋体" w:hAnsi="宋体" w:cs="宋体"/>
                <w:sz w:val="23"/>
                <w:szCs w:val="23"/>
                <w:highlight w:val="none"/>
              </w:rPr>
              <w:t>安全控制目标明确、方法得当、措施得力，各分部分项工程的主要施工工序、安全控制应有具体的方法和措施，且可行。</w:t>
            </w:r>
          </w:p>
          <w:p w14:paraId="33E7F03E">
            <w:pPr>
              <w:spacing w:line="400" w:lineRule="exact"/>
              <w:ind w:firstLine="460" w:firstLineChars="200"/>
              <w:rPr>
                <w:rFonts w:ascii="宋体"/>
                <w:color w:val="000000"/>
                <w:szCs w:val="21"/>
                <w:highlight w:val="none"/>
              </w:rPr>
            </w:pPr>
            <w:r>
              <w:rPr>
                <w:rFonts w:hint="eastAsia" w:ascii="宋体" w:hAnsi="宋体" w:cs="宋体"/>
                <w:sz w:val="23"/>
                <w:szCs w:val="23"/>
                <w:highlight w:val="none"/>
              </w:rPr>
              <w:t>优秀的得6.1～8.0分，良好的得4.1～6.0分，一般的得0.1～4.0分，差或未提供不得分。</w:t>
            </w:r>
          </w:p>
        </w:tc>
      </w:tr>
      <w:tr w14:paraId="5BA56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0" w:hRule="atLeast"/>
          <w:jc w:val="center"/>
        </w:trPr>
        <w:tc>
          <w:tcPr>
            <w:tcW w:w="1262" w:type="dxa"/>
            <w:vMerge w:val="continue"/>
            <w:vAlign w:val="center"/>
          </w:tcPr>
          <w:p w14:paraId="48508AE3">
            <w:pPr>
              <w:spacing w:line="400" w:lineRule="exact"/>
              <w:jc w:val="center"/>
              <w:rPr>
                <w:rFonts w:ascii="宋体" w:cs="宋体"/>
                <w:color w:val="000000"/>
                <w:szCs w:val="21"/>
                <w:highlight w:val="none"/>
              </w:rPr>
            </w:pPr>
          </w:p>
        </w:tc>
        <w:tc>
          <w:tcPr>
            <w:tcW w:w="1434" w:type="dxa"/>
            <w:vAlign w:val="center"/>
          </w:tcPr>
          <w:p w14:paraId="3481468E">
            <w:pPr>
              <w:spacing w:line="400" w:lineRule="exact"/>
              <w:jc w:val="center"/>
              <w:rPr>
                <w:rFonts w:hint="eastAsia" w:ascii="宋体" w:hAnsi="宋体" w:cs="宋体"/>
                <w:sz w:val="23"/>
                <w:szCs w:val="23"/>
                <w:highlight w:val="none"/>
              </w:rPr>
            </w:pPr>
            <w:r>
              <w:rPr>
                <w:rFonts w:hint="eastAsia" w:ascii="宋体" w:hAnsi="宋体" w:cs="宋体"/>
                <w:sz w:val="23"/>
                <w:szCs w:val="23"/>
                <w:highlight w:val="none"/>
              </w:rPr>
              <w:t>造价控制</w:t>
            </w:r>
          </w:p>
          <w:p w14:paraId="54ED137C">
            <w:pPr>
              <w:spacing w:line="400" w:lineRule="exact"/>
              <w:jc w:val="center"/>
              <w:rPr>
                <w:rFonts w:ascii="宋体"/>
                <w:color w:val="000000"/>
                <w:szCs w:val="21"/>
                <w:highlight w:val="none"/>
              </w:rPr>
            </w:pPr>
            <w:r>
              <w:rPr>
                <w:rFonts w:hint="eastAsia" w:ascii="宋体" w:hAnsi="宋体" w:cs="宋体"/>
                <w:sz w:val="23"/>
                <w:szCs w:val="23"/>
                <w:highlight w:val="none"/>
                <w:lang w:eastAsia="zh-CN"/>
              </w:rPr>
              <w:t>（</w:t>
            </w:r>
            <w:r>
              <w:rPr>
                <w:rFonts w:hint="eastAsia" w:ascii="宋体" w:hAnsi="宋体" w:cs="宋体"/>
                <w:sz w:val="23"/>
                <w:szCs w:val="23"/>
                <w:highlight w:val="none"/>
                <w:lang w:val="en-US" w:eastAsia="zh-CN"/>
              </w:rPr>
              <w:t>8分）</w:t>
            </w:r>
          </w:p>
        </w:tc>
        <w:tc>
          <w:tcPr>
            <w:tcW w:w="6432" w:type="dxa"/>
            <w:vAlign w:val="center"/>
          </w:tcPr>
          <w:p w14:paraId="261160E7">
            <w:pPr>
              <w:widowControl/>
              <w:snapToGrid w:val="0"/>
              <w:spacing w:line="360" w:lineRule="auto"/>
              <w:ind w:firstLine="460" w:firstLineChars="200"/>
              <w:jc w:val="left"/>
              <w:rPr>
                <w:rFonts w:hint="eastAsia" w:ascii="宋体" w:hAnsi="宋体" w:cs="宋体"/>
                <w:sz w:val="23"/>
                <w:szCs w:val="23"/>
                <w:highlight w:val="none"/>
              </w:rPr>
            </w:pPr>
            <w:r>
              <w:rPr>
                <w:rFonts w:hint="eastAsia" w:ascii="宋体" w:hAnsi="宋体" w:cs="宋体"/>
                <w:sz w:val="23"/>
                <w:szCs w:val="23"/>
                <w:highlight w:val="none"/>
              </w:rPr>
              <w:t>造价控制有针对性的具体措施和完善的管理制度，误差控制方法得当，办结时间要求明确。</w:t>
            </w:r>
          </w:p>
          <w:p w14:paraId="03BF4421">
            <w:pPr>
              <w:spacing w:line="400" w:lineRule="exact"/>
              <w:ind w:firstLine="460" w:firstLineChars="200"/>
              <w:rPr>
                <w:rFonts w:ascii="宋体"/>
                <w:color w:val="000000"/>
                <w:szCs w:val="21"/>
                <w:highlight w:val="none"/>
              </w:rPr>
            </w:pPr>
            <w:r>
              <w:rPr>
                <w:rFonts w:hint="eastAsia" w:ascii="宋体" w:hAnsi="宋体" w:cs="宋体"/>
                <w:sz w:val="23"/>
                <w:szCs w:val="23"/>
                <w:highlight w:val="none"/>
              </w:rPr>
              <w:t>优秀的得6.1～8.0分，良好的得4.1～6.0分，一般的得0.1～4.0分，差或未提供不得分。</w:t>
            </w:r>
          </w:p>
        </w:tc>
      </w:tr>
      <w:tr w14:paraId="15ED4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262" w:type="dxa"/>
            <w:vMerge w:val="continue"/>
            <w:vAlign w:val="center"/>
          </w:tcPr>
          <w:p w14:paraId="72884ED6">
            <w:pPr>
              <w:spacing w:line="400" w:lineRule="exact"/>
              <w:jc w:val="center"/>
              <w:rPr>
                <w:rFonts w:ascii="宋体" w:cs="宋体"/>
                <w:color w:val="000000"/>
                <w:szCs w:val="21"/>
                <w:highlight w:val="none"/>
              </w:rPr>
            </w:pPr>
          </w:p>
        </w:tc>
        <w:tc>
          <w:tcPr>
            <w:tcW w:w="1434" w:type="dxa"/>
            <w:vAlign w:val="center"/>
          </w:tcPr>
          <w:p w14:paraId="5D9C4FC1">
            <w:pPr>
              <w:spacing w:line="400" w:lineRule="exact"/>
              <w:jc w:val="center"/>
              <w:rPr>
                <w:rFonts w:hint="eastAsia" w:ascii="宋体" w:hAnsi="宋体" w:cs="宋体"/>
                <w:sz w:val="23"/>
                <w:szCs w:val="23"/>
                <w:highlight w:val="none"/>
              </w:rPr>
            </w:pPr>
            <w:r>
              <w:rPr>
                <w:rFonts w:hint="eastAsia" w:ascii="宋体" w:hAnsi="宋体" w:cs="宋体"/>
                <w:sz w:val="23"/>
                <w:szCs w:val="23"/>
                <w:highlight w:val="none"/>
              </w:rPr>
              <w:t>进度控制</w:t>
            </w:r>
          </w:p>
          <w:p w14:paraId="72456D43">
            <w:pPr>
              <w:spacing w:line="400" w:lineRule="exact"/>
              <w:jc w:val="center"/>
              <w:rPr>
                <w:rFonts w:ascii="宋体"/>
                <w:color w:val="000000"/>
                <w:szCs w:val="21"/>
                <w:highlight w:val="none"/>
              </w:rPr>
            </w:pPr>
            <w:r>
              <w:rPr>
                <w:rFonts w:hint="eastAsia" w:ascii="宋体" w:hAnsi="宋体" w:cs="宋体"/>
                <w:sz w:val="23"/>
                <w:szCs w:val="23"/>
                <w:highlight w:val="none"/>
                <w:lang w:eastAsia="zh-CN"/>
              </w:rPr>
              <w:t>（</w:t>
            </w:r>
            <w:r>
              <w:rPr>
                <w:rFonts w:hint="eastAsia" w:ascii="宋体" w:hAnsi="宋体" w:cs="宋体"/>
                <w:sz w:val="23"/>
                <w:szCs w:val="23"/>
                <w:highlight w:val="none"/>
                <w:lang w:val="en-US" w:eastAsia="zh-CN"/>
              </w:rPr>
              <w:t>8分）</w:t>
            </w:r>
          </w:p>
        </w:tc>
        <w:tc>
          <w:tcPr>
            <w:tcW w:w="6432" w:type="dxa"/>
            <w:vAlign w:val="center"/>
          </w:tcPr>
          <w:p w14:paraId="6C7D978D">
            <w:pPr>
              <w:widowControl/>
              <w:snapToGrid w:val="0"/>
              <w:spacing w:line="360" w:lineRule="auto"/>
              <w:ind w:firstLine="460" w:firstLineChars="200"/>
              <w:jc w:val="left"/>
              <w:rPr>
                <w:rFonts w:hint="eastAsia" w:ascii="宋体" w:hAnsi="宋体" w:cs="宋体"/>
                <w:sz w:val="23"/>
                <w:szCs w:val="23"/>
                <w:highlight w:val="none"/>
              </w:rPr>
            </w:pPr>
            <w:r>
              <w:rPr>
                <w:rFonts w:hint="eastAsia" w:ascii="宋体" w:hAnsi="宋体" w:cs="宋体"/>
                <w:sz w:val="23"/>
                <w:szCs w:val="23"/>
                <w:highlight w:val="none"/>
              </w:rPr>
              <w:t>进度控制目标明确，措施具体针对性较强，管理制度完善。</w:t>
            </w:r>
          </w:p>
          <w:p w14:paraId="292BF1F0">
            <w:pPr>
              <w:spacing w:line="400" w:lineRule="exact"/>
              <w:ind w:firstLine="460" w:firstLineChars="200"/>
              <w:rPr>
                <w:rFonts w:ascii="宋体"/>
                <w:color w:val="000000"/>
                <w:szCs w:val="21"/>
                <w:highlight w:val="none"/>
              </w:rPr>
            </w:pPr>
            <w:r>
              <w:rPr>
                <w:rFonts w:hint="eastAsia" w:ascii="宋体" w:hAnsi="宋体" w:cs="宋体"/>
                <w:sz w:val="23"/>
                <w:szCs w:val="23"/>
                <w:highlight w:val="none"/>
              </w:rPr>
              <w:t>优秀的得6.1～8.0分，良好的得4.1～6.0分，一般的得0.1～4.0分，差或未提供不得分。</w:t>
            </w:r>
          </w:p>
        </w:tc>
      </w:tr>
      <w:tr w14:paraId="67E56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262" w:type="dxa"/>
            <w:vMerge w:val="continue"/>
            <w:vAlign w:val="center"/>
          </w:tcPr>
          <w:p w14:paraId="4A8E2EA2">
            <w:pPr>
              <w:spacing w:line="400" w:lineRule="exact"/>
              <w:jc w:val="center"/>
              <w:rPr>
                <w:rFonts w:ascii="宋体" w:cs="宋体"/>
                <w:color w:val="000000"/>
                <w:szCs w:val="21"/>
                <w:highlight w:val="none"/>
              </w:rPr>
            </w:pPr>
          </w:p>
        </w:tc>
        <w:tc>
          <w:tcPr>
            <w:tcW w:w="1434" w:type="dxa"/>
            <w:vAlign w:val="center"/>
          </w:tcPr>
          <w:p w14:paraId="4B9FDF3B">
            <w:pPr>
              <w:spacing w:line="400" w:lineRule="exact"/>
              <w:jc w:val="center"/>
              <w:rPr>
                <w:rFonts w:hint="default" w:ascii="宋体" w:hAnsi="宋体" w:eastAsia="宋体" w:cs="宋体"/>
                <w:szCs w:val="21"/>
                <w:highlight w:val="none"/>
                <w:lang w:val="en-US" w:eastAsia="zh-CN"/>
              </w:rPr>
            </w:pPr>
            <w:r>
              <w:rPr>
                <w:rFonts w:hint="eastAsia" w:ascii="宋体" w:hAnsi="宋体" w:cs="宋体"/>
                <w:sz w:val="23"/>
                <w:szCs w:val="23"/>
                <w:highlight w:val="none"/>
              </w:rPr>
              <w:t>现场组织协调</w:t>
            </w:r>
            <w:r>
              <w:rPr>
                <w:rFonts w:hint="eastAsia" w:ascii="宋体" w:hAnsi="宋体" w:cs="宋体"/>
                <w:sz w:val="23"/>
                <w:szCs w:val="23"/>
                <w:highlight w:val="none"/>
                <w:lang w:eastAsia="zh-CN"/>
              </w:rPr>
              <w:t>（</w:t>
            </w:r>
            <w:r>
              <w:rPr>
                <w:rFonts w:hint="eastAsia" w:ascii="宋体" w:hAnsi="宋体" w:cs="宋体"/>
                <w:sz w:val="23"/>
                <w:szCs w:val="23"/>
                <w:highlight w:val="none"/>
                <w:lang w:val="en-US" w:eastAsia="zh-CN"/>
              </w:rPr>
              <w:t>4分）</w:t>
            </w:r>
          </w:p>
        </w:tc>
        <w:tc>
          <w:tcPr>
            <w:tcW w:w="6432" w:type="dxa"/>
            <w:vAlign w:val="center"/>
          </w:tcPr>
          <w:p w14:paraId="4F43C73B">
            <w:pPr>
              <w:widowControl/>
              <w:snapToGrid w:val="0"/>
              <w:spacing w:line="360" w:lineRule="auto"/>
              <w:ind w:firstLine="460" w:firstLineChars="200"/>
              <w:jc w:val="left"/>
              <w:rPr>
                <w:rFonts w:hint="eastAsia" w:ascii="宋体" w:hAnsi="宋体" w:cs="宋体"/>
                <w:sz w:val="23"/>
                <w:szCs w:val="23"/>
                <w:highlight w:val="none"/>
              </w:rPr>
            </w:pPr>
            <w:r>
              <w:rPr>
                <w:rFonts w:hint="eastAsia" w:ascii="宋体" w:hAnsi="宋体" w:cs="宋体"/>
                <w:sz w:val="23"/>
                <w:szCs w:val="23"/>
                <w:highlight w:val="none"/>
              </w:rPr>
              <w:t>针对监理和施工人员的组织协调管理有明确的目标和得力的措施，与业主的协调协作有行之有效的制度和方法。</w:t>
            </w:r>
          </w:p>
          <w:p w14:paraId="763EF261">
            <w:pPr>
              <w:spacing w:line="400" w:lineRule="exact"/>
              <w:ind w:firstLine="460" w:firstLineChars="200"/>
              <w:rPr>
                <w:rFonts w:ascii="宋体"/>
                <w:color w:val="000000"/>
                <w:szCs w:val="21"/>
                <w:highlight w:val="none"/>
              </w:rPr>
            </w:pPr>
            <w:r>
              <w:rPr>
                <w:rFonts w:hint="eastAsia" w:ascii="宋体" w:hAnsi="宋体" w:cs="宋体"/>
                <w:sz w:val="23"/>
                <w:szCs w:val="23"/>
                <w:highlight w:val="none"/>
              </w:rPr>
              <w:t>评委根据措施、制度针对性情况进行综合打分，优秀的得3.1～4.0分，1.6～3.0分，一般0.1～1.5分，差或未提供不得分。</w:t>
            </w:r>
          </w:p>
        </w:tc>
      </w:tr>
    </w:tbl>
    <w:p w14:paraId="6773B46A">
      <w:pPr>
        <w:pStyle w:val="36"/>
        <w:ind w:firstLine="560"/>
        <w:rPr>
          <w:highlight w:val="none"/>
        </w:rPr>
        <w:sectPr>
          <w:pgSz w:w="12240" w:h="15840"/>
          <w:pgMar w:top="1440" w:right="1800" w:bottom="1440" w:left="1800" w:header="850" w:footer="850" w:gutter="0"/>
          <w:cols w:space="720" w:num="1"/>
        </w:sectPr>
      </w:pPr>
    </w:p>
    <w:p w14:paraId="5CDD3DF1">
      <w:pPr>
        <w:pStyle w:val="2"/>
        <w:numPr>
          <w:ilvl w:val="0"/>
          <w:numId w:val="0"/>
        </w:numPr>
        <w:jc w:val="center"/>
        <w:rPr>
          <w:b/>
          <w:bCs/>
          <w:sz w:val="36"/>
          <w:szCs w:val="22"/>
          <w:highlight w:val="none"/>
        </w:rPr>
      </w:pPr>
      <w:r>
        <w:rPr>
          <w:rFonts w:hint="eastAsia"/>
          <w:b/>
          <w:bCs/>
          <w:sz w:val="36"/>
          <w:szCs w:val="22"/>
          <w:highlight w:val="none"/>
        </w:rPr>
        <w:t>六、采购合同（采购人提供）</w:t>
      </w:r>
    </w:p>
    <w:bookmarkEnd w:id="23"/>
    <w:bookmarkEnd w:id="24"/>
    <w:p w14:paraId="2E9E34EC">
      <w:pPr>
        <w:rPr>
          <w:rStyle w:val="54"/>
          <w:b/>
          <w:bCs/>
          <w:sz w:val="36"/>
          <w:szCs w:val="22"/>
          <w:highlight w:val="none"/>
        </w:rPr>
      </w:pPr>
      <w:bookmarkStart w:id="25" w:name="_Toc220232403"/>
      <w:r>
        <w:rPr>
          <w:rStyle w:val="54"/>
          <w:rFonts w:hint="eastAsia"/>
          <w:b/>
          <w:bCs/>
          <w:sz w:val="36"/>
          <w:szCs w:val="22"/>
          <w:highlight w:val="none"/>
        </w:rPr>
        <w:br w:type="page"/>
      </w:r>
    </w:p>
    <w:p w14:paraId="06610A92">
      <w:pPr>
        <w:autoSpaceDE w:val="0"/>
        <w:autoSpaceDN w:val="0"/>
        <w:adjustRightInd w:val="0"/>
        <w:spacing w:line="480" w:lineRule="exact"/>
        <w:jc w:val="center"/>
        <w:rPr>
          <w:rFonts w:eastAsia="黑体ＣＳ"/>
          <w:b/>
          <w:bCs/>
          <w:sz w:val="44"/>
          <w:szCs w:val="22"/>
          <w:highlight w:val="none"/>
        </w:rPr>
      </w:pPr>
      <w:r>
        <w:rPr>
          <w:rStyle w:val="54"/>
          <w:rFonts w:hint="eastAsia"/>
          <w:b/>
          <w:bCs/>
          <w:sz w:val="36"/>
          <w:szCs w:val="22"/>
          <w:highlight w:val="none"/>
        </w:rPr>
        <w:t>七、</w:t>
      </w:r>
      <w:bookmarkEnd w:id="25"/>
      <w:r>
        <w:rPr>
          <w:rStyle w:val="54"/>
          <w:rFonts w:hint="eastAsia"/>
          <w:b/>
          <w:bCs/>
          <w:sz w:val="36"/>
          <w:szCs w:val="22"/>
          <w:highlight w:val="none"/>
        </w:rPr>
        <w:t>响应文件格式</w:t>
      </w:r>
    </w:p>
    <w:p w14:paraId="53DF256E">
      <w:pPr>
        <w:autoSpaceDE w:val="0"/>
        <w:autoSpaceDN w:val="0"/>
        <w:adjustRightInd w:val="0"/>
        <w:spacing w:line="480" w:lineRule="exact"/>
        <w:rPr>
          <w:rFonts w:eastAsia="黑体ＣＳ"/>
          <w:b/>
          <w:bCs/>
          <w:sz w:val="36"/>
          <w:highlight w:val="none"/>
        </w:rPr>
      </w:pPr>
    </w:p>
    <w:p w14:paraId="32ABD51D">
      <w:pPr>
        <w:ind w:firstLine="723" w:firstLineChars="200"/>
        <w:rPr>
          <w:rFonts w:ascii="Arial" w:hAnsi="Arial" w:eastAsia="黑体" w:cs="Arial"/>
          <w:color w:val="000000"/>
          <w:sz w:val="52"/>
          <w:szCs w:val="52"/>
          <w:highlight w:val="none"/>
        </w:rPr>
      </w:pPr>
      <w:r>
        <w:rPr>
          <w:rFonts w:hint="eastAsia" w:ascii="Arial" w:hAnsi="Arial" w:eastAsia="黑体ＣＳ"/>
          <w:b/>
          <w:bCs/>
          <w:sz w:val="36"/>
          <w:highlight w:val="none"/>
          <w:lang w:bidi="he-IL"/>
        </w:rPr>
        <w:t xml:space="preserve"> </w:t>
      </w:r>
      <w:bookmarkStart w:id="26" w:name="_Toc304388438"/>
      <w:bookmarkStart w:id="27" w:name="_Hlk450146465"/>
      <w:r>
        <w:rPr>
          <w:rFonts w:hint="eastAsia" w:ascii="Arial" w:hAnsi="Arial" w:eastAsia="黑体" w:cs="Arial"/>
          <w:color w:val="000000"/>
          <w:sz w:val="52"/>
          <w:szCs w:val="52"/>
          <w:highlight w:val="none"/>
          <w:u w:val="single"/>
        </w:rPr>
        <w:t xml:space="preserve">                 </w:t>
      </w:r>
      <w:r>
        <w:rPr>
          <w:rFonts w:hint="eastAsia" w:ascii="Arial" w:hAnsi="Arial" w:eastAsia="黑体" w:cs="Arial"/>
          <w:color w:val="000000"/>
          <w:sz w:val="52"/>
          <w:szCs w:val="52"/>
          <w:highlight w:val="none"/>
        </w:rPr>
        <w:t>项目（</w:t>
      </w:r>
      <w:r>
        <w:rPr>
          <w:rFonts w:hint="eastAsia" w:ascii="Arial" w:hAnsi="Arial" w:eastAsia="黑体" w:cs="Arial"/>
          <w:color w:val="000000"/>
          <w:sz w:val="52"/>
          <w:szCs w:val="52"/>
          <w:highlight w:val="none"/>
          <w:u w:val="single"/>
        </w:rPr>
        <w:t xml:space="preserve"> </w:t>
      </w:r>
      <w:r>
        <w:rPr>
          <w:rFonts w:hint="eastAsia" w:ascii="Arial" w:hAnsi="Arial" w:eastAsia="黑体" w:cs="Arial"/>
          <w:color w:val="000000"/>
          <w:sz w:val="52"/>
          <w:szCs w:val="52"/>
          <w:highlight w:val="none"/>
        </w:rPr>
        <w:t>包）</w:t>
      </w:r>
    </w:p>
    <w:p w14:paraId="051B7F72">
      <w:pPr>
        <w:jc w:val="center"/>
        <w:rPr>
          <w:rFonts w:ascii="Arial" w:hAnsi="Arial" w:eastAsia="黑体" w:cs="Arial"/>
          <w:b/>
          <w:color w:val="000000"/>
          <w:sz w:val="72"/>
          <w:highlight w:val="none"/>
        </w:rPr>
      </w:pPr>
    </w:p>
    <w:p w14:paraId="0AF4FDF3">
      <w:pPr>
        <w:jc w:val="center"/>
        <w:rPr>
          <w:rFonts w:ascii="Arial" w:hAnsi="Arial" w:eastAsia="黑体" w:cs="Arial"/>
          <w:b/>
          <w:color w:val="000000"/>
          <w:sz w:val="52"/>
          <w:szCs w:val="52"/>
          <w:highlight w:val="none"/>
        </w:rPr>
      </w:pPr>
    </w:p>
    <w:p w14:paraId="73BF1C54">
      <w:pPr>
        <w:ind w:firstLine="4176" w:firstLineChars="800"/>
        <w:rPr>
          <w:rFonts w:hint="eastAsia" w:ascii="宋体" w:hAnsi="宋体" w:cs="宋体"/>
          <w:b/>
          <w:color w:val="000000"/>
          <w:sz w:val="52"/>
          <w:szCs w:val="52"/>
          <w:highlight w:val="none"/>
        </w:rPr>
      </w:pPr>
      <w:r>
        <w:rPr>
          <w:rFonts w:hint="eastAsia" w:ascii="宋体" w:hAnsi="宋体" w:cs="宋体"/>
          <w:b/>
          <w:color w:val="000000"/>
          <w:sz w:val="52"/>
          <w:szCs w:val="52"/>
          <w:highlight w:val="none"/>
        </w:rPr>
        <w:t>响</w:t>
      </w:r>
    </w:p>
    <w:p w14:paraId="05AEC68B">
      <w:pPr>
        <w:ind w:firstLine="4176" w:firstLineChars="800"/>
        <w:rPr>
          <w:rFonts w:hint="eastAsia" w:ascii="宋体" w:hAnsi="宋体" w:cs="宋体"/>
          <w:b/>
          <w:color w:val="000000"/>
          <w:sz w:val="52"/>
          <w:szCs w:val="52"/>
          <w:highlight w:val="none"/>
        </w:rPr>
      </w:pPr>
      <w:r>
        <w:rPr>
          <w:rFonts w:hint="eastAsia" w:ascii="宋体" w:hAnsi="宋体" w:cs="宋体"/>
          <w:b/>
          <w:color w:val="000000"/>
          <w:sz w:val="52"/>
          <w:szCs w:val="52"/>
          <w:highlight w:val="none"/>
        </w:rPr>
        <w:t>应</w:t>
      </w:r>
    </w:p>
    <w:p w14:paraId="1D037813">
      <w:pPr>
        <w:ind w:firstLine="4176" w:firstLineChars="800"/>
        <w:rPr>
          <w:rFonts w:hint="eastAsia" w:ascii="宋体" w:hAnsi="宋体" w:cs="宋体"/>
          <w:b/>
          <w:color w:val="000000"/>
          <w:sz w:val="52"/>
          <w:szCs w:val="52"/>
          <w:highlight w:val="none"/>
        </w:rPr>
      </w:pPr>
      <w:r>
        <w:rPr>
          <w:rFonts w:hint="eastAsia" w:ascii="宋体" w:hAnsi="宋体" w:cs="宋体"/>
          <w:b/>
          <w:color w:val="000000"/>
          <w:sz w:val="52"/>
          <w:szCs w:val="52"/>
          <w:highlight w:val="none"/>
        </w:rPr>
        <w:t>文</w:t>
      </w:r>
    </w:p>
    <w:p w14:paraId="29221F82">
      <w:pPr>
        <w:ind w:firstLine="4176" w:firstLineChars="800"/>
        <w:rPr>
          <w:rFonts w:hint="eastAsia" w:ascii="宋体" w:hAnsi="宋体" w:cs="宋体"/>
          <w:color w:val="000000"/>
          <w:sz w:val="52"/>
          <w:szCs w:val="52"/>
          <w:highlight w:val="none"/>
        </w:rPr>
      </w:pPr>
      <w:r>
        <w:rPr>
          <w:rFonts w:hint="eastAsia" w:ascii="宋体" w:hAnsi="宋体" w:cs="宋体"/>
          <w:b/>
          <w:color w:val="000000"/>
          <w:sz w:val="52"/>
          <w:szCs w:val="52"/>
          <w:highlight w:val="none"/>
        </w:rPr>
        <w:t>件</w:t>
      </w:r>
    </w:p>
    <w:p w14:paraId="1D1F9752">
      <w:pPr>
        <w:jc w:val="center"/>
        <w:rPr>
          <w:rFonts w:ascii="Arial" w:hAnsi="Arial" w:eastAsia="黑体" w:cs="Arial"/>
          <w:color w:val="000000"/>
          <w:sz w:val="32"/>
          <w:highlight w:val="none"/>
        </w:rPr>
      </w:pPr>
    </w:p>
    <w:p w14:paraId="5FFCD724">
      <w:pPr>
        <w:jc w:val="center"/>
        <w:rPr>
          <w:rFonts w:ascii="Arial" w:hAnsi="Arial" w:eastAsia="黑体" w:cs="Arial"/>
          <w:color w:val="000000"/>
          <w:sz w:val="32"/>
          <w:highlight w:val="none"/>
        </w:rPr>
      </w:pPr>
    </w:p>
    <w:p w14:paraId="01D65C52">
      <w:pPr>
        <w:jc w:val="center"/>
        <w:rPr>
          <w:rFonts w:ascii="Arial" w:hAnsi="Arial" w:eastAsia="黑体" w:cs="Arial"/>
          <w:color w:val="000000"/>
          <w:sz w:val="32"/>
          <w:highlight w:val="none"/>
        </w:rPr>
      </w:pPr>
    </w:p>
    <w:p w14:paraId="17A059E8">
      <w:pPr>
        <w:rPr>
          <w:rFonts w:ascii="Arial" w:hAnsi="Arial" w:eastAsia="黑体" w:cs="Arial"/>
          <w:color w:val="000000"/>
          <w:sz w:val="32"/>
          <w:highlight w:val="none"/>
        </w:rPr>
      </w:pPr>
    </w:p>
    <w:p w14:paraId="7DA5E1E3">
      <w:pPr>
        <w:ind w:firstLine="1760" w:firstLineChars="550"/>
        <w:rPr>
          <w:rFonts w:ascii="Arial" w:hAnsi="Arial" w:eastAsia="黑体" w:cs="Arial"/>
          <w:b/>
          <w:color w:val="000000"/>
          <w:sz w:val="32"/>
          <w:highlight w:val="none"/>
          <w:u w:val="single"/>
        </w:rPr>
      </w:pPr>
      <w:r>
        <w:rPr>
          <w:rFonts w:hint="eastAsia" w:ascii="Arial" w:hAnsi="Arial" w:eastAsia="黑体" w:cs="Arial"/>
          <w:color w:val="000000"/>
          <w:sz w:val="32"/>
          <w:highlight w:val="none"/>
        </w:rPr>
        <w:t>供 应 商：</w:t>
      </w:r>
      <w:r>
        <w:rPr>
          <w:rFonts w:ascii="Arial" w:hAnsi="Arial" w:eastAsia="黑体" w:cs="Arial"/>
          <w:b/>
          <w:color w:val="000000"/>
          <w:sz w:val="32"/>
          <w:highlight w:val="none"/>
          <w:u w:val="single"/>
        </w:rPr>
        <w:t xml:space="preserve">                       </w:t>
      </w:r>
    </w:p>
    <w:p w14:paraId="5FD7B2AE">
      <w:pPr>
        <w:ind w:firstLine="2880" w:firstLineChars="900"/>
        <w:rPr>
          <w:rFonts w:ascii="Arial" w:hAnsi="Arial" w:eastAsia="黑体" w:cs="Arial"/>
          <w:color w:val="000000"/>
          <w:sz w:val="32"/>
          <w:highlight w:val="none"/>
        </w:rPr>
      </w:pPr>
      <w:r>
        <w:rPr>
          <w:rFonts w:hint="eastAsia" w:ascii="Arial" w:hAnsi="Arial" w:eastAsia="黑体" w:cs="Arial"/>
          <w:color w:val="000000"/>
          <w:sz w:val="32"/>
          <w:highlight w:val="none"/>
          <w:u w:val="single"/>
        </w:rPr>
        <w:t xml:space="preserve">      </w:t>
      </w:r>
      <w:r>
        <w:rPr>
          <w:rFonts w:hint="eastAsia" w:ascii="Arial" w:hAnsi="Arial" w:eastAsia="黑体" w:cs="Arial"/>
          <w:color w:val="000000"/>
          <w:sz w:val="32"/>
          <w:highlight w:val="none"/>
        </w:rPr>
        <w:t>年</w:t>
      </w:r>
      <w:r>
        <w:rPr>
          <w:rFonts w:hint="eastAsia" w:ascii="Arial" w:hAnsi="Arial" w:eastAsia="黑体" w:cs="Arial"/>
          <w:color w:val="000000"/>
          <w:sz w:val="32"/>
          <w:highlight w:val="none"/>
          <w:u w:val="single"/>
        </w:rPr>
        <w:t xml:space="preserve">   </w:t>
      </w:r>
      <w:r>
        <w:rPr>
          <w:rFonts w:hint="eastAsia" w:ascii="Arial" w:hAnsi="Arial" w:eastAsia="黑体" w:cs="Arial"/>
          <w:color w:val="000000"/>
          <w:sz w:val="32"/>
          <w:highlight w:val="none"/>
        </w:rPr>
        <w:t>月</w:t>
      </w:r>
      <w:r>
        <w:rPr>
          <w:rFonts w:hint="eastAsia" w:ascii="Arial" w:hAnsi="Arial" w:eastAsia="黑体" w:cs="Arial"/>
          <w:color w:val="000000"/>
          <w:sz w:val="32"/>
          <w:highlight w:val="none"/>
          <w:u w:val="single"/>
        </w:rPr>
        <w:t xml:space="preserve">   </w:t>
      </w:r>
      <w:r>
        <w:rPr>
          <w:rFonts w:hint="eastAsia" w:ascii="Arial" w:hAnsi="Arial" w:eastAsia="黑体" w:cs="Arial"/>
          <w:color w:val="000000"/>
          <w:sz w:val="32"/>
          <w:highlight w:val="none"/>
        </w:rPr>
        <w:t>日</w:t>
      </w:r>
    </w:p>
    <w:p w14:paraId="70EEA8BB">
      <w:pPr>
        <w:spacing w:before="66" w:beforeLines="20" w:after="66" w:afterLines="20" w:line="360" w:lineRule="auto"/>
        <w:ind w:right="-4" w:rightChars="-2"/>
        <w:jc w:val="center"/>
        <w:rPr>
          <w:rFonts w:hint="eastAsia" w:ascii="宋体" w:hAnsi="宋体"/>
          <w:b/>
          <w:sz w:val="28"/>
          <w:szCs w:val="28"/>
          <w:highlight w:val="none"/>
        </w:rPr>
      </w:pPr>
      <w:r>
        <w:rPr>
          <w:highlight w:val="none"/>
        </w:rPr>
        <w:br w:type="page"/>
      </w:r>
      <w:bookmarkEnd w:id="26"/>
      <w:bookmarkEnd w:id="27"/>
      <w:bookmarkStart w:id="28" w:name="_Toc197934561"/>
      <w:bookmarkStart w:id="29" w:name="_Toc300210381"/>
      <w:bookmarkStart w:id="30" w:name="_Toc351103053"/>
      <w:r>
        <w:rPr>
          <w:rFonts w:hint="eastAsia"/>
          <w:b/>
          <w:sz w:val="28"/>
          <w:szCs w:val="28"/>
          <w:highlight w:val="none"/>
        </w:rPr>
        <w:t>（一）供应商综合情况简介</w:t>
      </w:r>
    </w:p>
    <w:p w14:paraId="0ECC00E0">
      <w:pPr>
        <w:spacing w:line="500" w:lineRule="exact"/>
        <w:ind w:right="-4" w:rightChars="-2"/>
        <w:jc w:val="center"/>
        <w:rPr>
          <w:highlight w:val="none"/>
        </w:rPr>
      </w:pPr>
      <w:r>
        <w:rPr>
          <w:rFonts w:hint="eastAsia"/>
          <w:highlight w:val="none"/>
        </w:rPr>
        <w:t>(供应商可自行制作格式)</w:t>
      </w:r>
    </w:p>
    <w:p w14:paraId="434A5D6D">
      <w:pPr>
        <w:rPr>
          <w:sz w:val="28"/>
          <w:szCs w:val="28"/>
          <w:highlight w:val="none"/>
        </w:rPr>
      </w:pPr>
      <w:r>
        <w:rPr>
          <w:rFonts w:hint="eastAsia"/>
          <w:sz w:val="28"/>
          <w:szCs w:val="28"/>
          <w:highlight w:val="none"/>
        </w:rPr>
        <w:br w:type="page"/>
      </w:r>
    </w:p>
    <w:p w14:paraId="16EF0673">
      <w:pPr>
        <w:pStyle w:val="4"/>
        <w:ind w:right="-4" w:rightChars="-2"/>
        <w:jc w:val="center"/>
        <w:rPr>
          <w:bCs w:val="0"/>
          <w:sz w:val="28"/>
          <w:szCs w:val="28"/>
          <w:highlight w:val="none"/>
        </w:rPr>
      </w:pPr>
      <w:r>
        <w:rPr>
          <w:rFonts w:hint="eastAsia"/>
          <w:bCs w:val="0"/>
          <w:sz w:val="28"/>
          <w:szCs w:val="28"/>
          <w:highlight w:val="none"/>
        </w:rPr>
        <w:t>（二）磋商一览表</w:t>
      </w:r>
      <w:bookmarkEnd w:id="28"/>
      <w:bookmarkEnd w:id="29"/>
      <w:bookmarkEnd w:id="30"/>
    </w:p>
    <w:tbl>
      <w:tblPr>
        <w:tblStyle w:val="37"/>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5790"/>
      </w:tblGrid>
      <w:tr w14:paraId="67F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2722" w:type="dxa"/>
            <w:tcBorders>
              <w:top w:val="single" w:color="auto" w:sz="4" w:space="0"/>
              <w:bottom w:val="single" w:color="auto" w:sz="4" w:space="0"/>
              <w:right w:val="single" w:color="auto" w:sz="4" w:space="0"/>
            </w:tcBorders>
            <w:vAlign w:val="center"/>
          </w:tcPr>
          <w:p w14:paraId="6AD73A2C">
            <w:pPr>
              <w:widowControl/>
              <w:spacing w:line="360" w:lineRule="exact"/>
              <w:ind w:right="-4" w:rightChars="-2"/>
              <w:jc w:val="center"/>
              <w:rPr>
                <w:rFonts w:hint="eastAsia" w:ascii="宋体" w:hAnsi="宋体"/>
                <w:b/>
                <w:sz w:val="24"/>
                <w:highlight w:val="none"/>
              </w:rPr>
            </w:pPr>
            <w:r>
              <w:rPr>
                <w:rFonts w:hint="eastAsia" w:ascii="宋体" w:hAnsi="宋体"/>
                <w:b/>
                <w:sz w:val="24"/>
                <w:highlight w:val="none"/>
              </w:rPr>
              <w:t>项 目 名 称</w:t>
            </w:r>
          </w:p>
        </w:tc>
        <w:tc>
          <w:tcPr>
            <w:tcW w:w="5790" w:type="dxa"/>
            <w:tcBorders>
              <w:top w:val="single" w:color="auto" w:sz="4" w:space="0"/>
              <w:bottom w:val="single" w:color="auto" w:sz="4" w:space="0"/>
              <w:right w:val="single" w:color="auto" w:sz="4" w:space="0"/>
            </w:tcBorders>
            <w:vAlign w:val="center"/>
          </w:tcPr>
          <w:p w14:paraId="5DDFA65D">
            <w:pPr>
              <w:spacing w:line="360" w:lineRule="exact"/>
              <w:ind w:right="-4" w:rightChars="-2"/>
              <w:jc w:val="center"/>
              <w:rPr>
                <w:rFonts w:hint="eastAsia" w:ascii="宋体" w:hAnsi="宋体"/>
                <w:b/>
                <w:bCs/>
                <w:sz w:val="24"/>
                <w:szCs w:val="24"/>
                <w:highlight w:val="none"/>
                <w:u w:val="single"/>
              </w:rPr>
            </w:pPr>
            <w:r>
              <w:rPr>
                <w:rFonts w:hint="eastAsia" w:ascii="宋体" w:hAnsi="宋体"/>
                <w:sz w:val="24"/>
                <w:szCs w:val="24"/>
                <w:highlight w:val="none"/>
              </w:rPr>
              <w:t>郎溪县人民医院医共体基础设施提升改造项目EPC监理服务采购项目</w:t>
            </w:r>
          </w:p>
        </w:tc>
      </w:tr>
      <w:tr w14:paraId="4D5C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722" w:type="dxa"/>
            <w:tcBorders>
              <w:top w:val="nil"/>
            </w:tcBorders>
            <w:vAlign w:val="center"/>
          </w:tcPr>
          <w:p w14:paraId="1CDF8424">
            <w:pPr>
              <w:spacing w:line="360" w:lineRule="exact"/>
              <w:ind w:right="-4" w:rightChars="-2"/>
              <w:jc w:val="center"/>
              <w:rPr>
                <w:rFonts w:hint="eastAsia" w:ascii="宋体" w:hAnsi="宋体"/>
                <w:b/>
                <w:sz w:val="24"/>
                <w:highlight w:val="none"/>
              </w:rPr>
            </w:pPr>
            <w:r>
              <w:rPr>
                <w:rFonts w:hint="eastAsia" w:ascii="宋体" w:hAnsi="宋体"/>
                <w:b/>
                <w:sz w:val="24"/>
                <w:highlight w:val="none"/>
              </w:rPr>
              <w:t>供应商全称</w:t>
            </w:r>
          </w:p>
        </w:tc>
        <w:tc>
          <w:tcPr>
            <w:tcW w:w="5790" w:type="dxa"/>
            <w:tcBorders>
              <w:top w:val="nil"/>
            </w:tcBorders>
            <w:vAlign w:val="center"/>
          </w:tcPr>
          <w:p w14:paraId="45DD1432">
            <w:pPr>
              <w:spacing w:line="360" w:lineRule="auto"/>
              <w:ind w:right="-4" w:rightChars="-2"/>
              <w:rPr>
                <w:rFonts w:hint="eastAsia" w:ascii="宋体" w:hAnsi="宋体"/>
                <w:sz w:val="24"/>
                <w:highlight w:val="none"/>
              </w:rPr>
            </w:pPr>
          </w:p>
        </w:tc>
      </w:tr>
      <w:tr w14:paraId="66AE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722" w:type="dxa"/>
            <w:tcBorders>
              <w:top w:val="nil"/>
            </w:tcBorders>
            <w:vAlign w:val="center"/>
          </w:tcPr>
          <w:p w14:paraId="76A86F36">
            <w:pPr>
              <w:spacing w:line="360" w:lineRule="exact"/>
              <w:ind w:right="-4" w:rightChars="-2"/>
              <w:jc w:val="center"/>
              <w:rPr>
                <w:rFonts w:hint="eastAsia" w:ascii="宋体" w:hAnsi="宋体"/>
                <w:b/>
                <w:sz w:val="24"/>
                <w:highlight w:val="none"/>
              </w:rPr>
            </w:pPr>
            <w:r>
              <w:rPr>
                <w:rFonts w:hint="eastAsia" w:ascii="宋体" w:hAnsi="宋体"/>
                <w:b/>
                <w:sz w:val="24"/>
                <w:highlight w:val="none"/>
              </w:rPr>
              <w:t>包段</w:t>
            </w:r>
          </w:p>
        </w:tc>
        <w:tc>
          <w:tcPr>
            <w:tcW w:w="5790" w:type="dxa"/>
            <w:tcBorders>
              <w:top w:val="nil"/>
            </w:tcBorders>
            <w:vAlign w:val="center"/>
          </w:tcPr>
          <w:p w14:paraId="36BF5F0F">
            <w:pPr>
              <w:widowControl/>
              <w:spacing w:line="360" w:lineRule="exact"/>
              <w:ind w:right="-4" w:rightChars="-2"/>
              <w:jc w:val="center"/>
              <w:rPr>
                <w:rFonts w:hint="eastAsia" w:ascii="宋体" w:hAnsi="宋体"/>
                <w:b/>
                <w:sz w:val="24"/>
                <w:highlight w:val="none"/>
              </w:rPr>
            </w:pPr>
            <w:r>
              <w:rPr>
                <w:rFonts w:hint="eastAsia" w:ascii="宋体" w:hAnsi="宋体"/>
                <w:sz w:val="24"/>
                <w:szCs w:val="28"/>
                <w:highlight w:val="none"/>
              </w:rPr>
              <w:t>第/包（项目不分包时可写整包或不填写）</w:t>
            </w:r>
          </w:p>
        </w:tc>
      </w:tr>
      <w:tr w14:paraId="324A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2722" w:type="dxa"/>
            <w:tcBorders>
              <w:top w:val="nil"/>
            </w:tcBorders>
            <w:vAlign w:val="center"/>
          </w:tcPr>
          <w:p w14:paraId="4F8144AA">
            <w:pPr>
              <w:spacing w:line="360" w:lineRule="exact"/>
              <w:jc w:val="center"/>
              <w:rPr>
                <w:rFonts w:hint="eastAsia" w:ascii="宋体" w:hAnsi="宋体"/>
                <w:b/>
                <w:color w:val="000000"/>
                <w:sz w:val="24"/>
                <w:highlight w:val="none"/>
              </w:rPr>
            </w:pPr>
            <w:r>
              <w:rPr>
                <w:rFonts w:hint="eastAsia" w:ascii="宋体" w:hAnsi="宋体"/>
                <w:b/>
                <w:color w:val="000000"/>
                <w:sz w:val="24"/>
                <w:highlight w:val="none"/>
              </w:rPr>
              <w:t>最终报价</w:t>
            </w:r>
          </w:p>
          <w:p w14:paraId="2D3405A6">
            <w:pPr>
              <w:spacing w:line="360" w:lineRule="exact"/>
              <w:jc w:val="center"/>
              <w:rPr>
                <w:rFonts w:hint="eastAsia" w:ascii="宋体" w:hAnsi="宋体"/>
                <w:b/>
                <w:sz w:val="24"/>
                <w:highlight w:val="none"/>
              </w:rPr>
            </w:pPr>
            <w:r>
              <w:rPr>
                <w:rFonts w:hint="eastAsia" w:ascii="宋体" w:hAnsi="宋体"/>
                <w:b/>
                <w:color w:val="000000"/>
                <w:sz w:val="24"/>
                <w:highlight w:val="none"/>
              </w:rPr>
              <w:t>（费率）</w:t>
            </w:r>
          </w:p>
        </w:tc>
        <w:tc>
          <w:tcPr>
            <w:tcW w:w="5790" w:type="dxa"/>
            <w:tcBorders>
              <w:top w:val="nil"/>
            </w:tcBorders>
            <w:vAlign w:val="center"/>
          </w:tcPr>
          <w:p w14:paraId="3FC98D9E">
            <w:pPr>
              <w:spacing w:line="360" w:lineRule="auto"/>
              <w:ind w:right="-4" w:rightChars="-2" w:firstLine="720" w:firstLineChars="300"/>
              <w:rPr>
                <w:rFonts w:hint="eastAsia" w:ascii="宋体" w:hAnsi="宋体"/>
                <w:sz w:val="24"/>
                <w:highlight w:val="none"/>
                <w:u w:val="single"/>
              </w:rPr>
            </w:pPr>
            <w:r>
              <w:rPr>
                <w:rFonts w:hint="eastAsia" w:ascii="宋体" w:hAnsi="宋体"/>
                <w:color w:val="000000"/>
                <w:sz w:val="24"/>
                <w:highlight w:val="none"/>
              </w:rPr>
              <w:t>响应费率：</w:t>
            </w:r>
            <w:r>
              <w:rPr>
                <w:rFonts w:hint="eastAsia" w:ascii="宋体" w:hAnsi="宋体"/>
                <w:color w:val="000000"/>
                <w:sz w:val="24"/>
                <w:highlight w:val="none"/>
                <w:u w:val="single"/>
              </w:rPr>
              <w:t xml:space="preserve">                </w:t>
            </w:r>
            <w:r>
              <w:rPr>
                <w:rFonts w:hint="eastAsia" w:ascii="宋体" w:hAnsi="宋体"/>
                <w:color w:val="000000"/>
                <w:sz w:val="24"/>
                <w:highlight w:val="none"/>
              </w:rPr>
              <w:t>％</w:t>
            </w:r>
          </w:p>
        </w:tc>
      </w:tr>
      <w:tr w14:paraId="14B6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8" w:hRule="atLeast"/>
          <w:jc w:val="center"/>
        </w:trPr>
        <w:tc>
          <w:tcPr>
            <w:tcW w:w="2722" w:type="dxa"/>
            <w:tcBorders>
              <w:top w:val="nil"/>
            </w:tcBorders>
            <w:vAlign w:val="center"/>
          </w:tcPr>
          <w:p w14:paraId="777BC450">
            <w:pPr>
              <w:spacing w:line="360" w:lineRule="auto"/>
              <w:jc w:val="center"/>
              <w:rPr>
                <w:rFonts w:hint="eastAsia" w:ascii="宋体" w:hAnsi="宋体"/>
                <w:b/>
                <w:sz w:val="24"/>
                <w:highlight w:val="none"/>
              </w:rPr>
            </w:pPr>
            <w:r>
              <w:rPr>
                <w:rFonts w:hint="eastAsia" w:ascii="宋体" w:hAnsi="宋体"/>
                <w:b/>
                <w:color w:val="000000"/>
                <w:sz w:val="24"/>
                <w:highlight w:val="none"/>
              </w:rPr>
              <w:t>备注</w:t>
            </w:r>
          </w:p>
        </w:tc>
        <w:tc>
          <w:tcPr>
            <w:tcW w:w="5790" w:type="dxa"/>
            <w:tcBorders>
              <w:top w:val="nil"/>
            </w:tcBorders>
            <w:vAlign w:val="center"/>
          </w:tcPr>
          <w:p w14:paraId="62273203">
            <w:pPr>
              <w:widowControl/>
              <w:shd w:val="clear" w:color="auto" w:fill="FFFFFF"/>
              <w:spacing w:line="550" w:lineRule="exact"/>
              <w:jc w:val="left"/>
              <w:rPr>
                <w:rFonts w:hint="eastAsia" w:ascii="宋体" w:hAnsi="宋体"/>
                <w:sz w:val="24"/>
                <w:szCs w:val="28"/>
                <w:highlight w:val="none"/>
              </w:rPr>
            </w:pPr>
            <w:r>
              <w:rPr>
                <w:rFonts w:hint="eastAsia" w:ascii="宋体" w:hAnsi="宋体"/>
                <w:color w:val="000000"/>
                <w:sz w:val="24"/>
                <w:highlight w:val="none"/>
              </w:rPr>
              <w:t>取费费率不得高于1.1％（供应商响应报价费率精确到小数点后两位，即为*.**%）</w:t>
            </w:r>
          </w:p>
        </w:tc>
      </w:tr>
    </w:tbl>
    <w:p w14:paraId="3A78720B">
      <w:pPr>
        <w:spacing w:before="100" w:beforeAutospacing="1" w:after="100" w:afterAutospacing="1" w:line="360" w:lineRule="auto"/>
        <w:ind w:right="-4" w:rightChars="-2"/>
        <w:rPr>
          <w:rFonts w:hint="eastAsia" w:ascii="宋体" w:hAnsi="宋体"/>
          <w:b/>
          <w:sz w:val="24"/>
          <w:highlight w:val="none"/>
        </w:rPr>
      </w:pPr>
    </w:p>
    <w:p w14:paraId="39BBDDD9">
      <w:pPr>
        <w:spacing w:before="100" w:beforeAutospacing="1" w:after="100" w:afterAutospacing="1" w:line="360" w:lineRule="auto"/>
        <w:ind w:right="-4" w:rightChars="-2"/>
        <w:rPr>
          <w:rFonts w:hint="eastAsia" w:ascii="宋体" w:hAnsi="宋体"/>
          <w:b/>
          <w:sz w:val="24"/>
          <w:highlight w:val="none"/>
        </w:rPr>
      </w:pPr>
    </w:p>
    <w:p w14:paraId="773A9D1A">
      <w:pPr>
        <w:spacing w:before="100" w:beforeAutospacing="1" w:after="100" w:afterAutospacing="1" w:line="360" w:lineRule="auto"/>
        <w:ind w:right="-4" w:rightChars="-2"/>
        <w:rPr>
          <w:rFonts w:hint="eastAsia" w:ascii="宋体" w:hAnsi="宋体"/>
          <w:b/>
          <w:sz w:val="24"/>
          <w:highlight w:val="none"/>
        </w:rPr>
      </w:pPr>
      <w:r>
        <w:rPr>
          <w:rFonts w:hint="eastAsia" w:ascii="宋体" w:hAnsi="宋体"/>
          <w:b/>
          <w:sz w:val="24"/>
          <w:highlight w:val="none"/>
        </w:rPr>
        <w:t xml:space="preserve">响应供应商公章：                                          </w:t>
      </w:r>
    </w:p>
    <w:p w14:paraId="1EA9F565">
      <w:pPr>
        <w:spacing w:line="360" w:lineRule="auto"/>
        <w:ind w:right="-4" w:rightChars="-2"/>
        <w:rPr>
          <w:rFonts w:hint="eastAsia" w:ascii="宋体" w:hAnsi="宋体"/>
          <w:sz w:val="24"/>
          <w:szCs w:val="28"/>
          <w:highlight w:val="none"/>
        </w:rPr>
      </w:pPr>
      <w:r>
        <w:rPr>
          <w:rFonts w:hint="eastAsia" w:ascii="宋体" w:hAnsi="宋体"/>
          <w:b/>
          <w:sz w:val="24"/>
          <w:highlight w:val="none"/>
        </w:rPr>
        <w:t>备注：</w:t>
      </w:r>
      <w:bookmarkStart w:id="31" w:name="_Hlt533409360"/>
      <w:bookmarkEnd w:id="31"/>
      <w:bookmarkStart w:id="32" w:name="_Hlt519045798"/>
      <w:bookmarkEnd w:id="32"/>
      <w:bookmarkStart w:id="33" w:name="_Hlt533408409"/>
      <w:bookmarkEnd w:id="33"/>
      <w:bookmarkStart w:id="34" w:name="_Hlt509716873"/>
      <w:bookmarkEnd w:id="34"/>
      <w:bookmarkStart w:id="35" w:name="_Hlt533408916"/>
      <w:bookmarkEnd w:id="35"/>
      <w:r>
        <w:rPr>
          <w:rFonts w:hint="eastAsia" w:ascii="宋体" w:hAnsi="宋体"/>
          <w:sz w:val="24"/>
          <w:szCs w:val="28"/>
          <w:highlight w:val="none"/>
        </w:rPr>
        <w:t>此表中报价作为本次磋商的首轮报价。</w:t>
      </w:r>
    </w:p>
    <w:p w14:paraId="7937DC69">
      <w:pPr>
        <w:rPr>
          <w:rFonts w:hint="eastAsia" w:ascii="宋体" w:hAnsi="宋体"/>
          <w:sz w:val="24"/>
          <w:highlight w:val="none"/>
        </w:rPr>
      </w:pPr>
    </w:p>
    <w:p w14:paraId="6F0F953D">
      <w:pPr>
        <w:rPr>
          <w:rFonts w:hint="eastAsia" w:ascii="宋体" w:hAnsi="宋体" w:cs="宋体"/>
          <w:color w:val="000000"/>
          <w:highlight w:val="none"/>
        </w:rPr>
      </w:pPr>
      <w:bookmarkStart w:id="36" w:name="_Toc341340663"/>
      <w:bookmarkStart w:id="37" w:name="_Toc355787720"/>
    </w:p>
    <w:p w14:paraId="43DD30FB">
      <w:pPr>
        <w:rPr>
          <w:rFonts w:hint="eastAsia" w:ascii="宋体" w:hAnsi="宋体" w:cs="宋体"/>
          <w:color w:val="000000"/>
          <w:highlight w:val="none"/>
        </w:rPr>
      </w:pPr>
    </w:p>
    <w:p w14:paraId="17ACF5B6">
      <w:pPr>
        <w:rPr>
          <w:rFonts w:hint="eastAsia" w:ascii="宋体" w:hAnsi="宋体" w:cs="宋体"/>
          <w:color w:val="000000"/>
          <w:highlight w:val="none"/>
        </w:rPr>
      </w:pPr>
    </w:p>
    <w:p w14:paraId="615B0980">
      <w:pPr>
        <w:rPr>
          <w:rFonts w:hint="eastAsia" w:ascii="宋体" w:hAnsi="宋体" w:cs="宋体"/>
          <w:color w:val="000000"/>
          <w:highlight w:val="none"/>
        </w:rPr>
      </w:pPr>
    </w:p>
    <w:p w14:paraId="7C887127">
      <w:pPr>
        <w:rPr>
          <w:rFonts w:hint="eastAsia" w:ascii="宋体" w:hAnsi="宋体" w:cs="宋体"/>
          <w:color w:val="000000"/>
          <w:highlight w:val="none"/>
        </w:rPr>
      </w:pPr>
    </w:p>
    <w:p w14:paraId="1969D676">
      <w:pPr>
        <w:rPr>
          <w:rFonts w:hint="eastAsia" w:ascii="宋体" w:hAnsi="宋体" w:cs="宋体"/>
          <w:color w:val="000000"/>
          <w:highlight w:val="none"/>
        </w:rPr>
      </w:pPr>
    </w:p>
    <w:p w14:paraId="0C5538EC">
      <w:pPr>
        <w:rPr>
          <w:rFonts w:hint="eastAsia" w:ascii="宋体" w:hAnsi="宋体" w:cs="宋体"/>
          <w:color w:val="000000"/>
          <w:highlight w:val="none"/>
        </w:rPr>
      </w:pPr>
    </w:p>
    <w:p w14:paraId="3C757739">
      <w:pPr>
        <w:rPr>
          <w:rFonts w:hint="eastAsia" w:ascii="宋体" w:hAnsi="宋体" w:cs="宋体"/>
          <w:color w:val="000000"/>
          <w:highlight w:val="none"/>
        </w:rPr>
      </w:pPr>
    </w:p>
    <w:p w14:paraId="016B961C">
      <w:pPr>
        <w:rPr>
          <w:rFonts w:hint="eastAsia" w:ascii="宋体" w:hAnsi="宋体" w:cs="宋体"/>
          <w:color w:val="000000"/>
          <w:highlight w:val="none"/>
        </w:rPr>
      </w:pPr>
    </w:p>
    <w:p w14:paraId="176A5FD4">
      <w:pPr>
        <w:rPr>
          <w:rFonts w:hint="eastAsia" w:ascii="宋体" w:hAnsi="宋体" w:cs="宋体"/>
          <w:color w:val="000000"/>
          <w:highlight w:val="none"/>
        </w:rPr>
      </w:pPr>
    </w:p>
    <w:p w14:paraId="66EB0F92">
      <w:pPr>
        <w:pStyle w:val="3"/>
        <w:spacing w:before="0" w:after="0" w:line="360" w:lineRule="auto"/>
        <w:jc w:val="center"/>
        <w:rPr>
          <w:rFonts w:hint="eastAsia" w:ascii="宋体" w:hAnsi="宋体" w:cs="宋体"/>
          <w:color w:val="000000"/>
          <w:sz w:val="24"/>
          <w:szCs w:val="24"/>
          <w:highlight w:val="none"/>
        </w:rPr>
      </w:pPr>
      <w:r>
        <w:rPr>
          <w:rFonts w:hint="eastAsia" w:ascii="Times New Roman" w:hAnsi="Times New Roman" w:eastAsia="宋体"/>
          <w:sz w:val="28"/>
          <w:szCs w:val="28"/>
          <w:highlight w:val="none"/>
        </w:rPr>
        <w:t>（三）磋商承诺函</w:t>
      </w:r>
      <w:bookmarkEnd w:id="36"/>
      <w:bookmarkEnd w:id="37"/>
    </w:p>
    <w:p w14:paraId="62C14B49">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致：</w:t>
      </w:r>
      <w:r>
        <w:rPr>
          <w:rFonts w:hint="eastAsia" w:ascii="宋体" w:hAnsi="宋体" w:cs="宋体"/>
          <w:b/>
          <w:color w:val="000000"/>
          <w:sz w:val="24"/>
          <w:highlight w:val="none"/>
        </w:rPr>
        <w:t xml:space="preserve"> </w:t>
      </w:r>
      <w:r>
        <w:rPr>
          <w:rFonts w:hint="eastAsia" w:ascii="宋体" w:hAnsi="宋体" w:cs="宋体"/>
          <w:b/>
          <w:color w:val="000000"/>
          <w:sz w:val="24"/>
          <w:highlight w:val="none"/>
          <w:u w:val="single"/>
        </w:rPr>
        <w:t xml:space="preserve">                 （</w:t>
      </w:r>
      <w:r>
        <w:rPr>
          <w:rFonts w:hint="eastAsia" w:ascii="宋体" w:hAnsi="宋体" w:cs="宋体"/>
          <w:b/>
          <w:color w:val="000000"/>
          <w:sz w:val="24"/>
          <w:highlight w:val="none"/>
        </w:rPr>
        <w:t>采购人）</w:t>
      </w:r>
    </w:p>
    <w:p w14:paraId="2C721F9D">
      <w:pPr>
        <w:tabs>
          <w:tab w:val="left" w:pos="0"/>
          <w:tab w:val="left" w:pos="840"/>
        </w:tabs>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根据贵方的磋商公告，据此函，采购方承诺如下： </w:t>
      </w:r>
    </w:p>
    <w:p w14:paraId="313399AF">
      <w:pPr>
        <w:tabs>
          <w:tab w:val="left" w:pos="0"/>
          <w:tab w:val="left" w:pos="840"/>
        </w:tabs>
        <w:spacing w:line="360" w:lineRule="auto"/>
        <w:ind w:firstLine="525"/>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1、如我公司成交，我公司承诺愿意按磋商文件规定缴纳履约保证金、代理服务费及专家评审费等费用。按本次磋商文件规定及报价承诺提供相关服务。 </w:t>
      </w:r>
    </w:p>
    <w:p w14:paraId="239BABA3">
      <w:pPr>
        <w:tabs>
          <w:tab w:val="left" w:pos="0"/>
          <w:tab w:val="left" w:pos="840"/>
        </w:tabs>
        <w:spacing w:line="360" w:lineRule="auto"/>
        <w:ind w:firstLine="525"/>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2、采购方根据本次磋商文件的规定，严格履行合同的责任和义务,并保证于买方要求的日期内完成相关服务，并通过买方验收。 </w:t>
      </w:r>
    </w:p>
    <w:p w14:paraId="2614569F">
      <w:pPr>
        <w:tabs>
          <w:tab w:val="left" w:pos="0"/>
          <w:tab w:val="left" w:pos="840"/>
        </w:tabs>
        <w:spacing w:line="360" w:lineRule="auto"/>
        <w:ind w:firstLine="525"/>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3、采购方承诺报价低于同类服务的市场平均价格。 </w:t>
      </w:r>
    </w:p>
    <w:p w14:paraId="754BD365">
      <w:pPr>
        <w:tabs>
          <w:tab w:val="left" w:pos="0"/>
          <w:tab w:val="left" w:pos="840"/>
        </w:tabs>
        <w:spacing w:line="360" w:lineRule="auto"/>
        <w:ind w:firstLine="525"/>
        <w:rPr>
          <w:rFonts w:hint="eastAsia" w:ascii="宋体" w:hAnsi="宋体" w:cs="宋体"/>
          <w:color w:val="000000"/>
          <w:sz w:val="24"/>
          <w:szCs w:val="24"/>
          <w:highlight w:val="none"/>
        </w:rPr>
      </w:pPr>
      <w:r>
        <w:rPr>
          <w:rFonts w:hint="eastAsia" w:ascii="宋体" w:hAnsi="宋体" w:cs="宋体"/>
          <w:color w:val="000000"/>
          <w:sz w:val="24"/>
          <w:szCs w:val="24"/>
          <w:highlight w:val="none"/>
        </w:rPr>
        <w:t>4、采购方已详细阅读本次磋商文件，包括磋商文件附件、参考资料、磋商文件修改书或图纸（如有），采购方正式认可并遵守本次磋商文件，并对磋商文件各项条款、规定及要求均无异议。</w:t>
      </w:r>
    </w:p>
    <w:p w14:paraId="78F9CE63">
      <w:pPr>
        <w:tabs>
          <w:tab w:val="left" w:pos="0"/>
          <w:tab w:val="left" w:pos="840"/>
        </w:tabs>
        <w:spacing w:line="360" w:lineRule="auto"/>
        <w:ind w:firstLine="525"/>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5、采购方同意从供应商须知规定的磋商日期起遵循本磋商文件，并在供应商须知规定的磋商有效期之前均具有约束力。 </w:t>
      </w:r>
    </w:p>
    <w:p w14:paraId="226FA02E">
      <w:pPr>
        <w:tabs>
          <w:tab w:val="left" w:pos="0"/>
          <w:tab w:val="left" w:pos="840"/>
        </w:tabs>
        <w:spacing w:line="360" w:lineRule="auto"/>
        <w:ind w:firstLine="525"/>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6、采购方同意按贵方要求在规定时间内向贵方提供与其磋商有关的任何证据或补充资料，否则，采购方的响应文件可被贵方拒绝。 </w:t>
      </w:r>
    </w:p>
    <w:p w14:paraId="2F60D410">
      <w:pPr>
        <w:tabs>
          <w:tab w:val="left" w:pos="0"/>
          <w:tab w:val="left" w:pos="840"/>
        </w:tabs>
        <w:spacing w:line="360" w:lineRule="auto"/>
        <w:ind w:firstLine="525"/>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7、采购方完全理解贵方不一定接受最低报价。 </w:t>
      </w:r>
    </w:p>
    <w:p w14:paraId="30B42B00">
      <w:pPr>
        <w:tabs>
          <w:tab w:val="left" w:pos="0"/>
          <w:tab w:val="left" w:pos="840"/>
        </w:tabs>
        <w:spacing w:line="360" w:lineRule="auto"/>
        <w:ind w:firstLine="525"/>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8、采购方同意磋商文件规定的付款方式、免费质保等要求。 </w:t>
      </w:r>
    </w:p>
    <w:p w14:paraId="0AE279E4">
      <w:pPr>
        <w:tabs>
          <w:tab w:val="left" w:pos="0"/>
          <w:tab w:val="left" w:pos="840"/>
        </w:tabs>
        <w:spacing w:line="360" w:lineRule="auto"/>
        <w:ind w:firstLine="525"/>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9、采购方对响应文件中所提供资料、文件、证书及证件的真实性和有效性负责。 </w:t>
      </w:r>
    </w:p>
    <w:p w14:paraId="2D6ADFF8">
      <w:pPr>
        <w:spacing w:line="360" w:lineRule="auto"/>
        <w:ind w:firstLine="539"/>
        <w:rPr>
          <w:rFonts w:hint="eastAsia" w:ascii="宋体" w:hAnsi="宋体" w:cs="宋体"/>
          <w:color w:val="000000"/>
          <w:sz w:val="24"/>
          <w:szCs w:val="24"/>
          <w:highlight w:val="none"/>
        </w:rPr>
      </w:pPr>
      <w:r>
        <w:rPr>
          <w:rFonts w:hint="eastAsia" w:ascii="宋体" w:hAnsi="宋体" w:cs="宋体"/>
          <w:color w:val="000000"/>
          <w:sz w:val="24"/>
          <w:szCs w:val="24"/>
          <w:highlight w:val="none"/>
        </w:rPr>
        <w:t>供应商名称：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（供应商公章）</w:t>
      </w:r>
    </w:p>
    <w:p w14:paraId="781EF326">
      <w:pPr>
        <w:spacing w:line="360" w:lineRule="auto"/>
        <w:ind w:firstLine="645"/>
        <w:rPr>
          <w:rFonts w:hint="eastAsia" w:ascii="宋体" w:hAnsi="宋体" w:cs="宋体"/>
          <w:color w:val="000000"/>
          <w:sz w:val="24"/>
          <w:szCs w:val="24"/>
          <w:highlight w:val="none"/>
        </w:rPr>
      </w:pPr>
      <w:r>
        <w:rPr>
          <w:rFonts w:hint="eastAsia" w:ascii="宋体" w:hAnsi="宋体" w:cs="宋体"/>
          <w:color w:val="000000"/>
          <w:sz w:val="24"/>
          <w:szCs w:val="24"/>
          <w:highlight w:val="none"/>
        </w:rPr>
        <w:t>法人或其授权代表（签字或盖章）：</w:t>
      </w:r>
      <w:r>
        <w:rPr>
          <w:rFonts w:hint="eastAsia" w:ascii="宋体" w:hAnsi="宋体" w:cs="宋体"/>
          <w:color w:val="000000"/>
          <w:sz w:val="24"/>
          <w:szCs w:val="24"/>
          <w:highlight w:val="none"/>
          <w:u w:val="single"/>
        </w:rPr>
        <w:t xml:space="preserve">                 </w:t>
      </w:r>
    </w:p>
    <w:p w14:paraId="5662F2A3">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日    期：</w:t>
      </w:r>
      <w:r>
        <w:rPr>
          <w:rFonts w:hint="eastAsia" w:ascii="宋体" w:hAnsi="宋体" w:cs="宋体"/>
          <w:color w:val="000000"/>
          <w:sz w:val="24"/>
          <w:szCs w:val="24"/>
          <w:highlight w:val="none"/>
          <w:u w:val="single"/>
        </w:rPr>
        <w:t xml:space="preserve">                     </w:t>
      </w:r>
    </w:p>
    <w:p w14:paraId="2D033E8B">
      <w:pPr>
        <w:spacing w:line="360" w:lineRule="auto"/>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 xml:space="preserve">     通讯地址：</w:t>
      </w:r>
      <w:r>
        <w:rPr>
          <w:rFonts w:hint="eastAsia" w:ascii="宋体" w:hAnsi="宋体" w:cs="宋体"/>
          <w:color w:val="000000"/>
          <w:sz w:val="24"/>
          <w:szCs w:val="24"/>
          <w:highlight w:val="none"/>
          <w:u w:val="single"/>
        </w:rPr>
        <w:t xml:space="preserve">                                     </w:t>
      </w:r>
    </w:p>
    <w:p w14:paraId="7083207A">
      <w:pPr>
        <w:spacing w:line="360" w:lineRule="auto"/>
        <w:ind w:firstLine="645"/>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电   话：</w:t>
      </w:r>
      <w:r>
        <w:rPr>
          <w:rFonts w:hint="eastAsia" w:ascii="宋体" w:hAnsi="宋体" w:cs="宋体"/>
          <w:color w:val="000000"/>
          <w:sz w:val="24"/>
          <w:szCs w:val="24"/>
          <w:highlight w:val="none"/>
          <w:u w:val="single"/>
        </w:rPr>
        <w:t xml:space="preserve">            </w:t>
      </w:r>
    </w:p>
    <w:p w14:paraId="7181DB2F">
      <w:pPr>
        <w:spacing w:line="360" w:lineRule="auto"/>
        <w:ind w:firstLine="645"/>
        <w:rPr>
          <w:rFonts w:hint="eastAsia" w:ascii="宋体" w:hAnsi="宋体" w:cs="宋体"/>
          <w:color w:val="000000"/>
          <w:sz w:val="24"/>
          <w:szCs w:val="24"/>
          <w:highlight w:val="none"/>
        </w:rPr>
      </w:pPr>
      <w:r>
        <w:rPr>
          <w:rFonts w:hint="eastAsia" w:ascii="宋体" w:hAnsi="宋体" w:cs="宋体"/>
          <w:color w:val="000000"/>
          <w:sz w:val="24"/>
          <w:szCs w:val="24"/>
          <w:highlight w:val="none"/>
        </w:rPr>
        <w:t>传    真：</w:t>
      </w:r>
      <w:r>
        <w:rPr>
          <w:rFonts w:hint="eastAsia" w:ascii="宋体" w:hAnsi="宋体" w:cs="宋体"/>
          <w:color w:val="000000"/>
          <w:sz w:val="24"/>
          <w:szCs w:val="24"/>
          <w:highlight w:val="none"/>
          <w:u w:val="single"/>
        </w:rPr>
        <w:t xml:space="preserve">          </w:t>
      </w:r>
    </w:p>
    <w:p w14:paraId="1DC28573">
      <w:pPr>
        <w:spacing w:line="360" w:lineRule="auto"/>
        <w:ind w:firstLine="645"/>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供应商开户行: </w:t>
      </w:r>
      <w:r>
        <w:rPr>
          <w:rFonts w:hint="eastAsia" w:ascii="宋体" w:hAnsi="宋体" w:cs="宋体"/>
          <w:color w:val="000000"/>
          <w:sz w:val="24"/>
          <w:szCs w:val="24"/>
          <w:highlight w:val="none"/>
          <w:u w:val="single"/>
        </w:rPr>
        <w:t xml:space="preserve">                               </w:t>
      </w:r>
    </w:p>
    <w:p w14:paraId="4A864B7E">
      <w:pPr>
        <w:spacing w:line="360" w:lineRule="auto"/>
        <w:ind w:firstLine="645"/>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 xml:space="preserve">账        号: </w:t>
      </w:r>
      <w:r>
        <w:rPr>
          <w:rFonts w:hint="eastAsia" w:ascii="宋体" w:hAnsi="宋体" w:cs="宋体"/>
          <w:color w:val="000000"/>
          <w:sz w:val="24"/>
          <w:szCs w:val="24"/>
          <w:highlight w:val="none"/>
          <w:u w:val="single"/>
        </w:rPr>
        <w:t xml:space="preserve">                               </w:t>
      </w:r>
    </w:p>
    <w:p w14:paraId="1D0AFBE4">
      <w:pPr>
        <w:pStyle w:val="4"/>
        <w:ind w:right="-4" w:rightChars="-2"/>
        <w:jc w:val="center"/>
        <w:rPr>
          <w:rFonts w:hint="eastAsia" w:ascii="宋体" w:hAnsi="宋体" w:cs="宋体"/>
          <w:color w:val="000000"/>
          <w:highlight w:val="none"/>
        </w:rPr>
        <w:sectPr>
          <w:headerReference r:id="rId5" w:type="default"/>
          <w:footerReference r:id="rId6" w:type="default"/>
          <w:pgSz w:w="11906" w:h="16838"/>
          <w:pgMar w:top="1440" w:right="1800" w:bottom="1440" w:left="1800" w:header="851" w:footer="992" w:gutter="0"/>
          <w:pgNumType w:fmt="numberInDash"/>
          <w:cols w:space="720" w:num="1"/>
          <w:docGrid w:type="lines" w:linePitch="332" w:charSpace="0"/>
        </w:sectPr>
      </w:pPr>
      <w:r>
        <w:rPr>
          <w:rFonts w:hint="eastAsia" w:ascii="宋体" w:hAnsi="宋体" w:cs="宋体"/>
          <w:color w:val="000000"/>
          <w:highlight w:val="none"/>
        </w:rPr>
        <w:br w:type="page"/>
      </w:r>
      <w:bookmarkStart w:id="38" w:name="_Toc351103055"/>
      <w:bookmarkStart w:id="39" w:name="_Toc351103056"/>
      <w:bookmarkStart w:id="40" w:name="_Toc197934552"/>
      <w:bookmarkStart w:id="41" w:name="_Toc300210386"/>
    </w:p>
    <w:bookmarkEnd w:id="38"/>
    <w:p w14:paraId="496E0882">
      <w:pPr>
        <w:pStyle w:val="19"/>
        <w:spacing w:line="360" w:lineRule="auto"/>
        <w:ind w:right="-4" w:rightChars="-2"/>
        <w:jc w:val="center"/>
        <w:rPr>
          <w:rFonts w:hint="eastAsia" w:ascii="宋体" w:hAnsi="宋体"/>
          <w:sz w:val="24"/>
          <w:szCs w:val="28"/>
          <w:highlight w:val="none"/>
        </w:rPr>
      </w:pPr>
      <w:r>
        <w:rPr>
          <w:rFonts w:hint="eastAsia" w:ascii="Times New Roman" w:eastAsia="宋体"/>
          <w:b/>
          <w:bCs/>
          <w:sz w:val="28"/>
          <w:szCs w:val="28"/>
          <w:highlight w:val="none"/>
          <w:lang w:bidi="ar-SA"/>
        </w:rPr>
        <w:t>（四）磋商响应表</w:t>
      </w:r>
      <w:bookmarkEnd w:id="39"/>
      <w:bookmarkEnd w:id="40"/>
      <w:bookmarkEnd w:id="41"/>
    </w:p>
    <w:tbl>
      <w:tblPr>
        <w:tblStyle w:val="37"/>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793"/>
        <w:gridCol w:w="1813"/>
        <w:gridCol w:w="2212"/>
        <w:gridCol w:w="2371"/>
      </w:tblGrid>
      <w:tr w14:paraId="0BEE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463" w:type="dxa"/>
            <w:gridSpan w:val="3"/>
            <w:vAlign w:val="center"/>
          </w:tcPr>
          <w:p w14:paraId="1D494349">
            <w:pPr>
              <w:pStyle w:val="17"/>
              <w:ind w:right="-4" w:rightChars="-2"/>
              <w:jc w:val="center"/>
              <w:rPr>
                <w:rFonts w:hint="eastAsia" w:hAnsi="宋体"/>
                <w:b/>
                <w:sz w:val="24"/>
                <w:highlight w:val="none"/>
              </w:rPr>
            </w:pPr>
            <w:r>
              <w:rPr>
                <w:rFonts w:hint="eastAsia" w:hAnsi="宋体"/>
                <w:b/>
                <w:sz w:val="24"/>
                <w:highlight w:val="none"/>
              </w:rPr>
              <w:t>按磋商文件规定填写</w:t>
            </w:r>
          </w:p>
        </w:tc>
        <w:tc>
          <w:tcPr>
            <w:tcW w:w="4583" w:type="dxa"/>
            <w:gridSpan w:val="2"/>
            <w:vAlign w:val="center"/>
          </w:tcPr>
          <w:p w14:paraId="1EA71C1E">
            <w:pPr>
              <w:pStyle w:val="17"/>
              <w:ind w:right="-4" w:rightChars="-2"/>
              <w:jc w:val="center"/>
              <w:rPr>
                <w:rFonts w:hint="eastAsia" w:hAnsi="宋体"/>
                <w:b/>
                <w:sz w:val="24"/>
                <w:highlight w:val="none"/>
              </w:rPr>
            </w:pPr>
            <w:r>
              <w:rPr>
                <w:rFonts w:hint="eastAsia" w:hAnsi="宋体"/>
                <w:b/>
                <w:sz w:val="24"/>
                <w:highlight w:val="none"/>
              </w:rPr>
              <w:t>按供应商所投内容填写</w:t>
            </w:r>
          </w:p>
        </w:tc>
      </w:tr>
      <w:tr w14:paraId="6976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46" w:type="dxa"/>
            <w:gridSpan w:val="5"/>
            <w:vAlign w:val="center"/>
          </w:tcPr>
          <w:p w14:paraId="5311B5C3">
            <w:pPr>
              <w:pStyle w:val="17"/>
              <w:ind w:right="-4" w:rightChars="-2"/>
              <w:jc w:val="center"/>
              <w:rPr>
                <w:rFonts w:hint="eastAsia" w:hAnsi="宋体"/>
                <w:b/>
                <w:sz w:val="24"/>
                <w:highlight w:val="none"/>
              </w:rPr>
            </w:pPr>
            <w:r>
              <w:rPr>
                <w:rFonts w:hint="eastAsia" w:hAnsi="宋体"/>
                <w:b/>
                <w:sz w:val="24"/>
                <w:highlight w:val="none"/>
              </w:rPr>
              <w:t>第一部分：技术部分响应</w:t>
            </w:r>
          </w:p>
        </w:tc>
      </w:tr>
      <w:tr w14:paraId="0368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57" w:type="dxa"/>
            <w:vAlign w:val="center"/>
          </w:tcPr>
          <w:p w14:paraId="0EB7AAFB">
            <w:pPr>
              <w:pStyle w:val="17"/>
              <w:ind w:right="-4" w:rightChars="-2"/>
              <w:jc w:val="center"/>
              <w:rPr>
                <w:rFonts w:hint="eastAsia" w:hAnsi="宋体"/>
                <w:b/>
                <w:sz w:val="24"/>
                <w:highlight w:val="none"/>
              </w:rPr>
            </w:pPr>
            <w:r>
              <w:rPr>
                <w:rFonts w:hint="eastAsia" w:hAnsi="宋体"/>
                <w:b/>
                <w:sz w:val="24"/>
                <w:highlight w:val="none"/>
              </w:rPr>
              <w:t>序号</w:t>
            </w:r>
          </w:p>
        </w:tc>
        <w:tc>
          <w:tcPr>
            <w:tcW w:w="1793" w:type="dxa"/>
            <w:vAlign w:val="center"/>
          </w:tcPr>
          <w:p w14:paraId="37271BBA">
            <w:pPr>
              <w:pStyle w:val="17"/>
              <w:ind w:right="-4" w:rightChars="-2"/>
              <w:jc w:val="center"/>
              <w:rPr>
                <w:rFonts w:hint="eastAsia" w:hAnsi="宋体"/>
                <w:b/>
                <w:sz w:val="24"/>
                <w:highlight w:val="none"/>
              </w:rPr>
            </w:pPr>
            <w:r>
              <w:rPr>
                <w:rFonts w:hint="eastAsia" w:hAnsi="宋体"/>
                <w:b/>
                <w:sz w:val="24"/>
                <w:highlight w:val="none"/>
              </w:rPr>
              <w:t>品名</w:t>
            </w:r>
          </w:p>
        </w:tc>
        <w:tc>
          <w:tcPr>
            <w:tcW w:w="1813" w:type="dxa"/>
            <w:vAlign w:val="center"/>
          </w:tcPr>
          <w:p w14:paraId="725F7F6A">
            <w:pPr>
              <w:pStyle w:val="17"/>
              <w:ind w:right="-4" w:rightChars="-2"/>
              <w:jc w:val="center"/>
              <w:rPr>
                <w:rFonts w:hint="eastAsia" w:hAnsi="宋体"/>
                <w:b/>
                <w:sz w:val="24"/>
                <w:highlight w:val="none"/>
              </w:rPr>
            </w:pPr>
            <w:r>
              <w:rPr>
                <w:rFonts w:hint="eastAsia" w:hAnsi="宋体"/>
                <w:b/>
                <w:sz w:val="24"/>
                <w:highlight w:val="none"/>
              </w:rPr>
              <w:t>磋商文件服务要求</w:t>
            </w:r>
          </w:p>
        </w:tc>
        <w:tc>
          <w:tcPr>
            <w:tcW w:w="2212" w:type="dxa"/>
            <w:vAlign w:val="center"/>
          </w:tcPr>
          <w:p w14:paraId="54A80556">
            <w:pPr>
              <w:pStyle w:val="17"/>
              <w:ind w:right="-4" w:rightChars="-2"/>
              <w:rPr>
                <w:rFonts w:hint="eastAsia" w:hAnsi="宋体"/>
                <w:b/>
                <w:sz w:val="24"/>
                <w:highlight w:val="none"/>
              </w:rPr>
            </w:pPr>
            <w:r>
              <w:rPr>
                <w:rFonts w:hint="eastAsia" w:hAnsi="宋体"/>
                <w:b/>
                <w:sz w:val="24"/>
                <w:highlight w:val="none"/>
              </w:rPr>
              <w:t>供应商承诺的服务</w:t>
            </w:r>
          </w:p>
        </w:tc>
        <w:tc>
          <w:tcPr>
            <w:tcW w:w="2371" w:type="dxa"/>
            <w:vAlign w:val="center"/>
          </w:tcPr>
          <w:p w14:paraId="4CE18996">
            <w:pPr>
              <w:pStyle w:val="17"/>
              <w:ind w:right="-4" w:rightChars="-2"/>
              <w:jc w:val="center"/>
              <w:rPr>
                <w:rFonts w:hint="eastAsia" w:hAnsi="宋体"/>
                <w:b/>
                <w:sz w:val="24"/>
                <w:highlight w:val="none"/>
              </w:rPr>
            </w:pPr>
            <w:r>
              <w:rPr>
                <w:rFonts w:hint="eastAsia" w:hAnsi="宋体"/>
                <w:b/>
                <w:sz w:val="24"/>
                <w:highlight w:val="none"/>
              </w:rPr>
              <w:t>偏离说明</w:t>
            </w:r>
          </w:p>
        </w:tc>
      </w:tr>
      <w:tr w14:paraId="131C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7" w:type="dxa"/>
            <w:vAlign w:val="center"/>
          </w:tcPr>
          <w:p w14:paraId="4AFCCAEC">
            <w:pPr>
              <w:ind w:right="-4" w:rightChars="-2"/>
              <w:jc w:val="center"/>
              <w:rPr>
                <w:rFonts w:hint="eastAsia" w:ascii="宋体" w:hAnsi="宋体"/>
                <w:sz w:val="24"/>
                <w:highlight w:val="none"/>
              </w:rPr>
            </w:pPr>
            <w:r>
              <w:rPr>
                <w:rFonts w:hint="eastAsia" w:ascii="宋体" w:hAnsi="宋体"/>
                <w:sz w:val="24"/>
                <w:highlight w:val="none"/>
              </w:rPr>
              <w:t>1</w:t>
            </w:r>
          </w:p>
        </w:tc>
        <w:tc>
          <w:tcPr>
            <w:tcW w:w="1793" w:type="dxa"/>
          </w:tcPr>
          <w:p w14:paraId="5F019DD8">
            <w:pPr>
              <w:ind w:right="-4" w:rightChars="-2"/>
              <w:rPr>
                <w:rFonts w:hint="eastAsia" w:ascii="宋体" w:hAnsi="宋体"/>
                <w:sz w:val="24"/>
                <w:highlight w:val="none"/>
              </w:rPr>
            </w:pPr>
          </w:p>
        </w:tc>
        <w:tc>
          <w:tcPr>
            <w:tcW w:w="1813" w:type="dxa"/>
          </w:tcPr>
          <w:p w14:paraId="5C1146B4">
            <w:pPr>
              <w:ind w:right="-4" w:rightChars="-2"/>
              <w:rPr>
                <w:rFonts w:hint="eastAsia" w:ascii="宋体" w:hAnsi="宋体"/>
                <w:sz w:val="24"/>
                <w:highlight w:val="none"/>
              </w:rPr>
            </w:pPr>
          </w:p>
        </w:tc>
        <w:tc>
          <w:tcPr>
            <w:tcW w:w="2212" w:type="dxa"/>
          </w:tcPr>
          <w:p w14:paraId="1DD23C10">
            <w:pPr>
              <w:ind w:right="-4" w:rightChars="-2"/>
              <w:rPr>
                <w:rFonts w:hint="eastAsia" w:ascii="宋体" w:hAnsi="宋体"/>
                <w:sz w:val="24"/>
                <w:highlight w:val="none"/>
              </w:rPr>
            </w:pPr>
          </w:p>
        </w:tc>
        <w:tc>
          <w:tcPr>
            <w:tcW w:w="2371" w:type="dxa"/>
          </w:tcPr>
          <w:p w14:paraId="2556EF08">
            <w:pPr>
              <w:ind w:right="-4" w:rightChars="-2"/>
              <w:rPr>
                <w:rFonts w:hint="eastAsia" w:ascii="宋体" w:hAnsi="宋体"/>
                <w:sz w:val="24"/>
                <w:highlight w:val="none"/>
              </w:rPr>
            </w:pPr>
          </w:p>
        </w:tc>
      </w:tr>
      <w:tr w14:paraId="57C8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7" w:type="dxa"/>
            <w:vAlign w:val="center"/>
          </w:tcPr>
          <w:p w14:paraId="524DFBC3">
            <w:pPr>
              <w:ind w:right="-4" w:rightChars="-2"/>
              <w:jc w:val="center"/>
              <w:rPr>
                <w:rFonts w:hint="eastAsia" w:ascii="宋体" w:hAnsi="宋体"/>
                <w:sz w:val="24"/>
                <w:highlight w:val="none"/>
              </w:rPr>
            </w:pPr>
            <w:r>
              <w:rPr>
                <w:rFonts w:hint="eastAsia" w:ascii="宋体" w:hAnsi="宋体"/>
                <w:sz w:val="24"/>
                <w:highlight w:val="none"/>
              </w:rPr>
              <w:t>2</w:t>
            </w:r>
          </w:p>
        </w:tc>
        <w:tc>
          <w:tcPr>
            <w:tcW w:w="1793" w:type="dxa"/>
          </w:tcPr>
          <w:p w14:paraId="14C04068">
            <w:pPr>
              <w:ind w:right="-4" w:rightChars="-2"/>
              <w:rPr>
                <w:rFonts w:hint="eastAsia" w:ascii="宋体" w:hAnsi="宋体"/>
                <w:sz w:val="24"/>
                <w:highlight w:val="none"/>
              </w:rPr>
            </w:pPr>
          </w:p>
        </w:tc>
        <w:tc>
          <w:tcPr>
            <w:tcW w:w="1813" w:type="dxa"/>
          </w:tcPr>
          <w:p w14:paraId="2E73A415">
            <w:pPr>
              <w:ind w:right="-4" w:rightChars="-2"/>
              <w:rPr>
                <w:rFonts w:hint="eastAsia" w:ascii="宋体" w:hAnsi="宋体"/>
                <w:sz w:val="24"/>
                <w:highlight w:val="none"/>
              </w:rPr>
            </w:pPr>
          </w:p>
        </w:tc>
        <w:tc>
          <w:tcPr>
            <w:tcW w:w="2212" w:type="dxa"/>
          </w:tcPr>
          <w:p w14:paraId="256A8C5A">
            <w:pPr>
              <w:ind w:right="-4" w:rightChars="-2"/>
              <w:rPr>
                <w:rFonts w:hint="eastAsia" w:ascii="宋体" w:hAnsi="宋体"/>
                <w:sz w:val="24"/>
                <w:highlight w:val="none"/>
              </w:rPr>
            </w:pPr>
          </w:p>
        </w:tc>
        <w:tc>
          <w:tcPr>
            <w:tcW w:w="2371" w:type="dxa"/>
          </w:tcPr>
          <w:p w14:paraId="0397208E">
            <w:pPr>
              <w:ind w:right="-4" w:rightChars="-2"/>
              <w:rPr>
                <w:rFonts w:hint="eastAsia" w:ascii="宋体" w:hAnsi="宋体"/>
                <w:sz w:val="24"/>
                <w:highlight w:val="none"/>
              </w:rPr>
            </w:pPr>
          </w:p>
        </w:tc>
      </w:tr>
      <w:tr w14:paraId="282F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7" w:type="dxa"/>
            <w:vAlign w:val="center"/>
          </w:tcPr>
          <w:p w14:paraId="470E19AE">
            <w:pPr>
              <w:ind w:right="-4" w:rightChars="-2"/>
              <w:jc w:val="center"/>
              <w:rPr>
                <w:rFonts w:hint="eastAsia" w:ascii="宋体" w:hAnsi="宋体"/>
                <w:sz w:val="24"/>
                <w:highlight w:val="none"/>
              </w:rPr>
            </w:pPr>
            <w:r>
              <w:rPr>
                <w:rFonts w:hint="eastAsia" w:ascii="宋体" w:hAnsi="宋体"/>
                <w:sz w:val="24"/>
                <w:highlight w:val="none"/>
              </w:rPr>
              <w:t>3</w:t>
            </w:r>
          </w:p>
        </w:tc>
        <w:tc>
          <w:tcPr>
            <w:tcW w:w="1793" w:type="dxa"/>
          </w:tcPr>
          <w:p w14:paraId="02FC0F9E">
            <w:pPr>
              <w:ind w:right="-4" w:rightChars="-2"/>
              <w:rPr>
                <w:rFonts w:hint="eastAsia" w:ascii="宋体" w:hAnsi="宋体"/>
                <w:sz w:val="24"/>
                <w:highlight w:val="none"/>
              </w:rPr>
            </w:pPr>
          </w:p>
        </w:tc>
        <w:tc>
          <w:tcPr>
            <w:tcW w:w="1813" w:type="dxa"/>
          </w:tcPr>
          <w:p w14:paraId="1AEFC6FD">
            <w:pPr>
              <w:ind w:right="-4" w:rightChars="-2"/>
              <w:rPr>
                <w:rFonts w:hint="eastAsia" w:ascii="宋体" w:hAnsi="宋体"/>
                <w:sz w:val="24"/>
                <w:highlight w:val="none"/>
              </w:rPr>
            </w:pPr>
          </w:p>
        </w:tc>
        <w:tc>
          <w:tcPr>
            <w:tcW w:w="2212" w:type="dxa"/>
          </w:tcPr>
          <w:p w14:paraId="7BB1A04A">
            <w:pPr>
              <w:pStyle w:val="75"/>
              <w:ind w:right="-4" w:rightChars="-2"/>
              <w:rPr>
                <w:rFonts w:hint="eastAsia" w:ascii="宋体" w:hAnsi="宋体"/>
                <w:highlight w:val="none"/>
              </w:rPr>
            </w:pPr>
          </w:p>
        </w:tc>
        <w:tc>
          <w:tcPr>
            <w:tcW w:w="2371" w:type="dxa"/>
          </w:tcPr>
          <w:p w14:paraId="685F398E">
            <w:pPr>
              <w:ind w:right="-4" w:rightChars="-2"/>
              <w:rPr>
                <w:rFonts w:hint="eastAsia" w:ascii="宋体" w:hAnsi="宋体"/>
                <w:sz w:val="24"/>
                <w:highlight w:val="none"/>
              </w:rPr>
            </w:pPr>
          </w:p>
        </w:tc>
      </w:tr>
      <w:tr w14:paraId="09C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7" w:type="dxa"/>
            <w:vAlign w:val="center"/>
          </w:tcPr>
          <w:p w14:paraId="52BFB18A">
            <w:pPr>
              <w:ind w:right="-4" w:rightChars="-2"/>
              <w:jc w:val="center"/>
              <w:rPr>
                <w:rFonts w:hint="eastAsia" w:ascii="宋体" w:hAnsi="宋体"/>
                <w:sz w:val="24"/>
                <w:highlight w:val="none"/>
              </w:rPr>
            </w:pPr>
            <w:r>
              <w:rPr>
                <w:rFonts w:ascii="宋体" w:hAnsi="宋体"/>
                <w:sz w:val="24"/>
                <w:highlight w:val="none"/>
              </w:rPr>
              <w:t>…</w:t>
            </w:r>
          </w:p>
        </w:tc>
        <w:tc>
          <w:tcPr>
            <w:tcW w:w="1793" w:type="dxa"/>
          </w:tcPr>
          <w:p w14:paraId="1F0AD5B9">
            <w:pPr>
              <w:ind w:right="-4" w:rightChars="-2"/>
              <w:rPr>
                <w:rFonts w:hint="eastAsia" w:ascii="宋体" w:hAnsi="宋体"/>
                <w:sz w:val="24"/>
                <w:highlight w:val="none"/>
              </w:rPr>
            </w:pPr>
          </w:p>
        </w:tc>
        <w:tc>
          <w:tcPr>
            <w:tcW w:w="1813" w:type="dxa"/>
          </w:tcPr>
          <w:p w14:paraId="7DB5E4D5">
            <w:pPr>
              <w:ind w:right="-4" w:rightChars="-2"/>
              <w:rPr>
                <w:rFonts w:hint="eastAsia" w:ascii="宋体" w:hAnsi="宋体"/>
                <w:sz w:val="24"/>
                <w:highlight w:val="none"/>
              </w:rPr>
            </w:pPr>
          </w:p>
        </w:tc>
        <w:tc>
          <w:tcPr>
            <w:tcW w:w="2212" w:type="dxa"/>
          </w:tcPr>
          <w:p w14:paraId="4618BC49">
            <w:pPr>
              <w:ind w:right="-4" w:rightChars="-2"/>
              <w:rPr>
                <w:rFonts w:hint="eastAsia" w:ascii="宋体" w:hAnsi="宋体"/>
                <w:sz w:val="24"/>
                <w:highlight w:val="none"/>
              </w:rPr>
            </w:pPr>
          </w:p>
        </w:tc>
        <w:tc>
          <w:tcPr>
            <w:tcW w:w="2371" w:type="dxa"/>
          </w:tcPr>
          <w:p w14:paraId="3DFC0E91">
            <w:pPr>
              <w:ind w:right="-4" w:rightChars="-2"/>
              <w:rPr>
                <w:rFonts w:hint="eastAsia" w:ascii="宋体" w:hAnsi="宋体"/>
                <w:sz w:val="24"/>
                <w:highlight w:val="none"/>
              </w:rPr>
            </w:pPr>
          </w:p>
        </w:tc>
      </w:tr>
      <w:tr w14:paraId="6464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46" w:type="dxa"/>
            <w:gridSpan w:val="5"/>
            <w:vAlign w:val="center"/>
          </w:tcPr>
          <w:p w14:paraId="4B4D027B">
            <w:pPr>
              <w:pStyle w:val="17"/>
              <w:ind w:right="-4" w:rightChars="-2"/>
              <w:jc w:val="center"/>
              <w:rPr>
                <w:rFonts w:hint="eastAsia" w:hAnsi="宋体"/>
                <w:sz w:val="24"/>
                <w:highlight w:val="none"/>
              </w:rPr>
            </w:pPr>
            <w:r>
              <w:rPr>
                <w:rFonts w:hint="eastAsia" w:hAnsi="宋体"/>
                <w:b/>
                <w:sz w:val="24"/>
                <w:highlight w:val="none"/>
              </w:rPr>
              <w:t>第二部分：商务部分响应</w:t>
            </w:r>
          </w:p>
        </w:tc>
      </w:tr>
      <w:tr w14:paraId="4524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7" w:type="dxa"/>
            <w:vAlign w:val="center"/>
          </w:tcPr>
          <w:p w14:paraId="104A156F">
            <w:pPr>
              <w:pStyle w:val="17"/>
              <w:ind w:right="-4" w:rightChars="-2"/>
              <w:jc w:val="center"/>
              <w:rPr>
                <w:rFonts w:hint="eastAsia" w:hAnsi="宋体"/>
                <w:b/>
                <w:sz w:val="24"/>
                <w:highlight w:val="none"/>
              </w:rPr>
            </w:pPr>
            <w:r>
              <w:rPr>
                <w:rFonts w:hint="eastAsia" w:hAnsi="宋体"/>
                <w:b/>
                <w:sz w:val="24"/>
                <w:highlight w:val="none"/>
              </w:rPr>
              <w:t>序号</w:t>
            </w:r>
          </w:p>
        </w:tc>
        <w:tc>
          <w:tcPr>
            <w:tcW w:w="1793" w:type="dxa"/>
            <w:vAlign w:val="center"/>
          </w:tcPr>
          <w:p w14:paraId="052509E9">
            <w:pPr>
              <w:pStyle w:val="17"/>
              <w:ind w:right="-4" w:rightChars="-2"/>
              <w:jc w:val="center"/>
              <w:rPr>
                <w:rFonts w:hint="eastAsia" w:hAnsi="宋体"/>
                <w:b/>
                <w:sz w:val="24"/>
                <w:highlight w:val="none"/>
              </w:rPr>
            </w:pPr>
            <w:r>
              <w:rPr>
                <w:rFonts w:hint="eastAsia" w:hAnsi="宋体"/>
                <w:b/>
                <w:sz w:val="24"/>
                <w:highlight w:val="none"/>
              </w:rPr>
              <w:t>内容</w:t>
            </w:r>
          </w:p>
        </w:tc>
        <w:tc>
          <w:tcPr>
            <w:tcW w:w="1813" w:type="dxa"/>
            <w:vAlign w:val="center"/>
          </w:tcPr>
          <w:p w14:paraId="78F9E72A">
            <w:pPr>
              <w:pStyle w:val="17"/>
              <w:ind w:right="-4" w:rightChars="-2"/>
              <w:jc w:val="center"/>
              <w:rPr>
                <w:rFonts w:hint="eastAsia" w:hAnsi="宋体"/>
                <w:b/>
                <w:sz w:val="24"/>
                <w:highlight w:val="none"/>
              </w:rPr>
            </w:pPr>
            <w:r>
              <w:rPr>
                <w:rFonts w:hint="eastAsia" w:hAnsi="宋体"/>
                <w:b/>
                <w:sz w:val="24"/>
                <w:highlight w:val="none"/>
              </w:rPr>
              <w:t>磋商文件要求</w:t>
            </w:r>
          </w:p>
        </w:tc>
        <w:tc>
          <w:tcPr>
            <w:tcW w:w="2212" w:type="dxa"/>
            <w:vAlign w:val="center"/>
          </w:tcPr>
          <w:p w14:paraId="262626F4">
            <w:pPr>
              <w:pStyle w:val="17"/>
              <w:ind w:right="-4" w:rightChars="-2"/>
              <w:jc w:val="center"/>
              <w:rPr>
                <w:rFonts w:hint="eastAsia" w:hAnsi="宋体"/>
                <w:b/>
                <w:sz w:val="24"/>
                <w:highlight w:val="none"/>
              </w:rPr>
            </w:pPr>
            <w:r>
              <w:rPr>
                <w:rFonts w:hint="eastAsia" w:hAnsi="宋体"/>
                <w:b/>
                <w:sz w:val="24"/>
                <w:highlight w:val="none"/>
              </w:rPr>
              <w:t>供应商承诺</w:t>
            </w:r>
          </w:p>
        </w:tc>
        <w:tc>
          <w:tcPr>
            <w:tcW w:w="2371" w:type="dxa"/>
            <w:vAlign w:val="center"/>
          </w:tcPr>
          <w:p w14:paraId="20B11950">
            <w:pPr>
              <w:pStyle w:val="17"/>
              <w:ind w:right="-4" w:rightChars="-2"/>
              <w:jc w:val="center"/>
              <w:rPr>
                <w:rFonts w:hint="eastAsia" w:hAnsi="宋体"/>
                <w:b/>
                <w:sz w:val="24"/>
                <w:highlight w:val="none"/>
              </w:rPr>
            </w:pPr>
            <w:r>
              <w:rPr>
                <w:rFonts w:hint="eastAsia" w:hAnsi="宋体"/>
                <w:b/>
                <w:sz w:val="24"/>
                <w:highlight w:val="none"/>
              </w:rPr>
              <w:t>不允许负偏离</w:t>
            </w:r>
          </w:p>
        </w:tc>
      </w:tr>
      <w:tr w14:paraId="2FEE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7" w:type="dxa"/>
            <w:vAlign w:val="center"/>
          </w:tcPr>
          <w:p w14:paraId="3005A1EF">
            <w:pPr>
              <w:ind w:right="-4" w:rightChars="-2"/>
              <w:jc w:val="center"/>
              <w:rPr>
                <w:rFonts w:hint="eastAsia" w:ascii="宋体" w:hAnsi="宋体"/>
                <w:sz w:val="24"/>
                <w:highlight w:val="none"/>
              </w:rPr>
            </w:pPr>
            <w:r>
              <w:rPr>
                <w:rFonts w:hint="eastAsia" w:ascii="宋体" w:hAnsi="宋体"/>
                <w:sz w:val="24"/>
                <w:highlight w:val="none"/>
              </w:rPr>
              <w:t>1</w:t>
            </w:r>
          </w:p>
        </w:tc>
        <w:tc>
          <w:tcPr>
            <w:tcW w:w="1793" w:type="dxa"/>
            <w:vAlign w:val="center"/>
          </w:tcPr>
          <w:p w14:paraId="632219A6">
            <w:pPr>
              <w:ind w:right="-4" w:rightChars="-2"/>
              <w:jc w:val="center"/>
              <w:rPr>
                <w:rFonts w:hint="eastAsia" w:ascii="宋体" w:hAnsi="宋体"/>
                <w:sz w:val="24"/>
                <w:highlight w:val="none"/>
              </w:rPr>
            </w:pPr>
            <w:r>
              <w:rPr>
                <w:rFonts w:hint="eastAsia" w:ascii="宋体" w:hAnsi="宋体"/>
                <w:sz w:val="24"/>
                <w:highlight w:val="none"/>
              </w:rPr>
              <w:t>服务期限</w:t>
            </w:r>
          </w:p>
        </w:tc>
        <w:tc>
          <w:tcPr>
            <w:tcW w:w="1813" w:type="dxa"/>
          </w:tcPr>
          <w:p w14:paraId="2E3EEE9D">
            <w:pPr>
              <w:ind w:right="-4" w:rightChars="-2"/>
              <w:rPr>
                <w:rFonts w:hint="eastAsia" w:ascii="宋体" w:hAnsi="宋体"/>
                <w:sz w:val="24"/>
                <w:highlight w:val="none"/>
              </w:rPr>
            </w:pPr>
          </w:p>
        </w:tc>
        <w:tc>
          <w:tcPr>
            <w:tcW w:w="2212" w:type="dxa"/>
          </w:tcPr>
          <w:p w14:paraId="3F54D9CC">
            <w:pPr>
              <w:ind w:right="-4" w:rightChars="-2"/>
              <w:rPr>
                <w:rFonts w:hint="eastAsia" w:ascii="宋体" w:hAnsi="宋体"/>
                <w:sz w:val="24"/>
                <w:highlight w:val="none"/>
              </w:rPr>
            </w:pPr>
          </w:p>
        </w:tc>
        <w:tc>
          <w:tcPr>
            <w:tcW w:w="2371" w:type="dxa"/>
          </w:tcPr>
          <w:p w14:paraId="35343C01">
            <w:pPr>
              <w:ind w:right="-4" w:rightChars="-2"/>
              <w:rPr>
                <w:rFonts w:hint="eastAsia" w:ascii="宋体" w:hAnsi="宋体"/>
                <w:sz w:val="24"/>
                <w:highlight w:val="none"/>
              </w:rPr>
            </w:pPr>
          </w:p>
        </w:tc>
      </w:tr>
      <w:tr w14:paraId="6852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7" w:type="dxa"/>
            <w:vAlign w:val="center"/>
          </w:tcPr>
          <w:p w14:paraId="75F4A5E1">
            <w:pPr>
              <w:ind w:right="-4" w:rightChars="-2"/>
              <w:jc w:val="center"/>
              <w:rPr>
                <w:rFonts w:hint="eastAsia" w:ascii="宋体" w:hAnsi="宋体"/>
                <w:sz w:val="24"/>
                <w:highlight w:val="none"/>
              </w:rPr>
            </w:pPr>
            <w:r>
              <w:rPr>
                <w:rFonts w:hint="eastAsia" w:ascii="宋体" w:hAnsi="宋体"/>
                <w:sz w:val="24"/>
                <w:highlight w:val="none"/>
              </w:rPr>
              <w:t>2</w:t>
            </w:r>
          </w:p>
        </w:tc>
        <w:tc>
          <w:tcPr>
            <w:tcW w:w="1793" w:type="dxa"/>
            <w:vAlign w:val="center"/>
          </w:tcPr>
          <w:p w14:paraId="458CAAF7">
            <w:pPr>
              <w:ind w:right="-4" w:rightChars="-2"/>
              <w:jc w:val="center"/>
              <w:rPr>
                <w:rFonts w:hint="eastAsia" w:ascii="宋体" w:hAnsi="宋体"/>
                <w:sz w:val="24"/>
                <w:highlight w:val="none"/>
              </w:rPr>
            </w:pPr>
            <w:r>
              <w:rPr>
                <w:rFonts w:hint="eastAsia" w:ascii="宋体" w:hAnsi="宋体"/>
                <w:sz w:val="24"/>
                <w:highlight w:val="none"/>
              </w:rPr>
              <w:t>付款</w:t>
            </w:r>
          </w:p>
        </w:tc>
        <w:tc>
          <w:tcPr>
            <w:tcW w:w="1813" w:type="dxa"/>
          </w:tcPr>
          <w:p w14:paraId="408793E2">
            <w:pPr>
              <w:ind w:right="-4" w:rightChars="-2"/>
              <w:rPr>
                <w:rFonts w:hint="eastAsia" w:ascii="宋体" w:hAnsi="宋体"/>
                <w:sz w:val="24"/>
                <w:highlight w:val="none"/>
              </w:rPr>
            </w:pPr>
          </w:p>
        </w:tc>
        <w:tc>
          <w:tcPr>
            <w:tcW w:w="2212" w:type="dxa"/>
          </w:tcPr>
          <w:p w14:paraId="2C4109E3">
            <w:pPr>
              <w:ind w:right="-4" w:rightChars="-2"/>
              <w:rPr>
                <w:rFonts w:hint="eastAsia" w:ascii="宋体" w:hAnsi="宋体"/>
                <w:sz w:val="24"/>
                <w:highlight w:val="none"/>
              </w:rPr>
            </w:pPr>
          </w:p>
        </w:tc>
        <w:tc>
          <w:tcPr>
            <w:tcW w:w="2371" w:type="dxa"/>
          </w:tcPr>
          <w:p w14:paraId="56251990">
            <w:pPr>
              <w:ind w:right="-4" w:rightChars="-2"/>
              <w:rPr>
                <w:rFonts w:hint="eastAsia" w:ascii="宋体" w:hAnsi="宋体"/>
                <w:sz w:val="24"/>
                <w:highlight w:val="none"/>
              </w:rPr>
            </w:pPr>
          </w:p>
        </w:tc>
      </w:tr>
      <w:tr w14:paraId="67EB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7" w:type="dxa"/>
            <w:vAlign w:val="center"/>
          </w:tcPr>
          <w:p w14:paraId="417E1554">
            <w:pPr>
              <w:ind w:right="-4" w:rightChars="-2"/>
              <w:jc w:val="center"/>
              <w:rPr>
                <w:rFonts w:hint="eastAsia" w:ascii="宋体" w:hAnsi="宋体"/>
                <w:sz w:val="24"/>
                <w:highlight w:val="none"/>
              </w:rPr>
            </w:pPr>
            <w:r>
              <w:rPr>
                <w:rFonts w:hint="eastAsia" w:ascii="宋体" w:hAnsi="宋体"/>
                <w:sz w:val="24"/>
                <w:highlight w:val="none"/>
              </w:rPr>
              <w:t>3</w:t>
            </w:r>
          </w:p>
        </w:tc>
        <w:tc>
          <w:tcPr>
            <w:tcW w:w="1793" w:type="dxa"/>
            <w:vAlign w:val="center"/>
          </w:tcPr>
          <w:p w14:paraId="1D0521C4">
            <w:pPr>
              <w:ind w:right="-4" w:rightChars="-2"/>
              <w:jc w:val="center"/>
              <w:rPr>
                <w:rFonts w:hint="eastAsia" w:ascii="宋体" w:hAnsi="宋体"/>
                <w:sz w:val="24"/>
                <w:highlight w:val="none"/>
              </w:rPr>
            </w:pPr>
            <w:r>
              <w:rPr>
                <w:rFonts w:hint="eastAsia" w:ascii="宋体" w:hAnsi="宋体"/>
                <w:sz w:val="24"/>
                <w:highlight w:val="none"/>
              </w:rPr>
              <w:t>响应有效期</w:t>
            </w:r>
          </w:p>
        </w:tc>
        <w:tc>
          <w:tcPr>
            <w:tcW w:w="1813" w:type="dxa"/>
          </w:tcPr>
          <w:p w14:paraId="68ED2568">
            <w:pPr>
              <w:ind w:right="-4" w:rightChars="-2"/>
              <w:rPr>
                <w:rFonts w:hint="eastAsia" w:ascii="宋体" w:hAnsi="宋体"/>
                <w:sz w:val="24"/>
                <w:highlight w:val="none"/>
              </w:rPr>
            </w:pPr>
          </w:p>
        </w:tc>
        <w:tc>
          <w:tcPr>
            <w:tcW w:w="2212" w:type="dxa"/>
          </w:tcPr>
          <w:p w14:paraId="6CC0F260">
            <w:pPr>
              <w:ind w:right="-4" w:rightChars="-2"/>
              <w:rPr>
                <w:rFonts w:hint="eastAsia" w:ascii="宋体" w:hAnsi="宋体"/>
                <w:sz w:val="24"/>
                <w:highlight w:val="none"/>
              </w:rPr>
            </w:pPr>
          </w:p>
        </w:tc>
        <w:tc>
          <w:tcPr>
            <w:tcW w:w="2371" w:type="dxa"/>
          </w:tcPr>
          <w:p w14:paraId="411F46C9">
            <w:pPr>
              <w:ind w:right="-4" w:rightChars="-2"/>
              <w:rPr>
                <w:rFonts w:hint="eastAsia" w:ascii="宋体" w:hAnsi="宋体"/>
                <w:sz w:val="24"/>
                <w:highlight w:val="none"/>
              </w:rPr>
            </w:pPr>
          </w:p>
        </w:tc>
      </w:tr>
      <w:tr w14:paraId="723A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7" w:type="dxa"/>
            <w:vAlign w:val="center"/>
          </w:tcPr>
          <w:p w14:paraId="4A23F6A2">
            <w:pPr>
              <w:ind w:right="-4" w:rightChars="-2"/>
              <w:jc w:val="center"/>
              <w:rPr>
                <w:rFonts w:hint="eastAsia" w:ascii="宋体" w:hAnsi="宋体"/>
                <w:sz w:val="24"/>
                <w:highlight w:val="none"/>
              </w:rPr>
            </w:pPr>
            <w:r>
              <w:rPr>
                <w:rFonts w:hint="eastAsia" w:ascii="宋体" w:hAnsi="宋体"/>
                <w:sz w:val="24"/>
                <w:highlight w:val="none"/>
              </w:rPr>
              <w:t>4</w:t>
            </w:r>
          </w:p>
        </w:tc>
        <w:tc>
          <w:tcPr>
            <w:tcW w:w="1793" w:type="dxa"/>
            <w:vAlign w:val="center"/>
          </w:tcPr>
          <w:p w14:paraId="60B975D9">
            <w:pPr>
              <w:ind w:right="-4" w:rightChars="-2"/>
              <w:jc w:val="center"/>
              <w:rPr>
                <w:rFonts w:hint="eastAsia" w:ascii="宋体" w:hAnsi="宋体"/>
                <w:sz w:val="24"/>
                <w:highlight w:val="none"/>
              </w:rPr>
            </w:pPr>
            <w:r>
              <w:rPr>
                <w:rFonts w:hint="eastAsia" w:ascii="宋体" w:hAnsi="宋体"/>
                <w:sz w:val="24"/>
                <w:highlight w:val="none"/>
              </w:rPr>
              <w:t xml:space="preserve">相关服务 </w:t>
            </w:r>
          </w:p>
        </w:tc>
        <w:tc>
          <w:tcPr>
            <w:tcW w:w="1813" w:type="dxa"/>
          </w:tcPr>
          <w:p w14:paraId="45EAED3C">
            <w:pPr>
              <w:ind w:right="-4" w:rightChars="-2"/>
              <w:rPr>
                <w:rFonts w:hint="eastAsia" w:ascii="宋体" w:hAnsi="宋体"/>
                <w:sz w:val="24"/>
                <w:highlight w:val="none"/>
              </w:rPr>
            </w:pPr>
          </w:p>
        </w:tc>
        <w:tc>
          <w:tcPr>
            <w:tcW w:w="2212" w:type="dxa"/>
          </w:tcPr>
          <w:p w14:paraId="609BE3BF">
            <w:pPr>
              <w:ind w:right="-4" w:rightChars="-2"/>
              <w:rPr>
                <w:rFonts w:hint="eastAsia" w:ascii="宋体" w:hAnsi="宋体"/>
                <w:sz w:val="24"/>
                <w:highlight w:val="none"/>
              </w:rPr>
            </w:pPr>
          </w:p>
        </w:tc>
        <w:tc>
          <w:tcPr>
            <w:tcW w:w="2371" w:type="dxa"/>
          </w:tcPr>
          <w:p w14:paraId="577D0521">
            <w:pPr>
              <w:ind w:right="-4" w:rightChars="-2"/>
              <w:rPr>
                <w:rFonts w:hint="eastAsia" w:ascii="宋体" w:hAnsi="宋体"/>
                <w:sz w:val="24"/>
                <w:highlight w:val="none"/>
              </w:rPr>
            </w:pPr>
          </w:p>
        </w:tc>
      </w:tr>
      <w:tr w14:paraId="26F4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857" w:type="dxa"/>
            <w:vAlign w:val="center"/>
          </w:tcPr>
          <w:p w14:paraId="504B63E8">
            <w:pPr>
              <w:ind w:right="-4" w:rightChars="-2"/>
              <w:jc w:val="center"/>
              <w:rPr>
                <w:rFonts w:hint="eastAsia" w:ascii="宋体" w:hAnsi="宋体"/>
                <w:sz w:val="24"/>
                <w:highlight w:val="none"/>
              </w:rPr>
            </w:pPr>
            <w:r>
              <w:rPr>
                <w:rFonts w:hint="eastAsia" w:ascii="宋体" w:hAnsi="宋体"/>
                <w:sz w:val="24"/>
                <w:highlight w:val="none"/>
              </w:rPr>
              <w:t xml:space="preserve"> </w:t>
            </w:r>
          </w:p>
        </w:tc>
        <w:tc>
          <w:tcPr>
            <w:tcW w:w="1793" w:type="dxa"/>
            <w:vAlign w:val="center"/>
          </w:tcPr>
          <w:p w14:paraId="7744A54D">
            <w:pPr>
              <w:ind w:right="-4" w:rightChars="-2"/>
              <w:jc w:val="center"/>
              <w:rPr>
                <w:rFonts w:hint="eastAsia" w:ascii="宋体" w:hAnsi="宋体"/>
                <w:sz w:val="24"/>
                <w:highlight w:val="none"/>
              </w:rPr>
            </w:pPr>
          </w:p>
        </w:tc>
        <w:tc>
          <w:tcPr>
            <w:tcW w:w="1813" w:type="dxa"/>
          </w:tcPr>
          <w:p w14:paraId="1F867C00">
            <w:pPr>
              <w:ind w:right="-4" w:rightChars="-2"/>
              <w:rPr>
                <w:rFonts w:hint="eastAsia" w:ascii="宋体" w:hAnsi="宋体"/>
                <w:sz w:val="24"/>
                <w:highlight w:val="none"/>
              </w:rPr>
            </w:pPr>
          </w:p>
        </w:tc>
        <w:tc>
          <w:tcPr>
            <w:tcW w:w="2212" w:type="dxa"/>
          </w:tcPr>
          <w:p w14:paraId="054FDDC0">
            <w:pPr>
              <w:ind w:right="-4" w:rightChars="-2"/>
              <w:rPr>
                <w:rFonts w:hint="eastAsia" w:ascii="宋体" w:hAnsi="宋体"/>
                <w:sz w:val="24"/>
                <w:highlight w:val="none"/>
              </w:rPr>
            </w:pPr>
          </w:p>
        </w:tc>
        <w:tc>
          <w:tcPr>
            <w:tcW w:w="2371" w:type="dxa"/>
          </w:tcPr>
          <w:p w14:paraId="63FAC8BE">
            <w:pPr>
              <w:ind w:right="-4" w:rightChars="-2"/>
              <w:rPr>
                <w:rFonts w:hint="eastAsia" w:ascii="宋体" w:hAnsi="宋体"/>
                <w:sz w:val="24"/>
                <w:highlight w:val="none"/>
              </w:rPr>
            </w:pPr>
          </w:p>
        </w:tc>
      </w:tr>
      <w:tr w14:paraId="5C12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57" w:type="dxa"/>
            <w:vAlign w:val="center"/>
          </w:tcPr>
          <w:p w14:paraId="7C4FDAE6">
            <w:pPr>
              <w:ind w:right="-4" w:rightChars="-2"/>
              <w:jc w:val="center"/>
              <w:rPr>
                <w:rFonts w:hint="eastAsia" w:ascii="宋体" w:hAnsi="宋体"/>
                <w:sz w:val="24"/>
                <w:highlight w:val="none"/>
              </w:rPr>
            </w:pPr>
          </w:p>
        </w:tc>
        <w:tc>
          <w:tcPr>
            <w:tcW w:w="1793" w:type="dxa"/>
            <w:vAlign w:val="center"/>
          </w:tcPr>
          <w:p w14:paraId="1E8D9860">
            <w:pPr>
              <w:ind w:right="-4" w:rightChars="-2"/>
              <w:jc w:val="center"/>
              <w:rPr>
                <w:rFonts w:hint="eastAsia" w:ascii="宋体" w:hAnsi="宋体"/>
                <w:sz w:val="24"/>
                <w:highlight w:val="none"/>
              </w:rPr>
            </w:pPr>
            <w:r>
              <w:rPr>
                <w:rFonts w:ascii="宋体" w:hAnsi="宋体"/>
                <w:sz w:val="24"/>
                <w:highlight w:val="none"/>
              </w:rPr>
              <w:t>……</w:t>
            </w:r>
          </w:p>
        </w:tc>
        <w:tc>
          <w:tcPr>
            <w:tcW w:w="1813" w:type="dxa"/>
          </w:tcPr>
          <w:p w14:paraId="391B673A">
            <w:pPr>
              <w:ind w:right="-4" w:rightChars="-2"/>
              <w:rPr>
                <w:rFonts w:hint="eastAsia" w:ascii="宋体" w:hAnsi="宋体"/>
                <w:sz w:val="24"/>
                <w:highlight w:val="none"/>
              </w:rPr>
            </w:pPr>
          </w:p>
        </w:tc>
        <w:tc>
          <w:tcPr>
            <w:tcW w:w="2212" w:type="dxa"/>
          </w:tcPr>
          <w:p w14:paraId="6B53F96E">
            <w:pPr>
              <w:ind w:right="-4" w:rightChars="-2"/>
              <w:rPr>
                <w:rFonts w:hint="eastAsia" w:ascii="宋体" w:hAnsi="宋体"/>
                <w:sz w:val="24"/>
                <w:highlight w:val="none"/>
              </w:rPr>
            </w:pPr>
          </w:p>
        </w:tc>
        <w:tc>
          <w:tcPr>
            <w:tcW w:w="2371" w:type="dxa"/>
          </w:tcPr>
          <w:p w14:paraId="0F94D73E">
            <w:pPr>
              <w:ind w:right="-4" w:rightChars="-2"/>
              <w:rPr>
                <w:rFonts w:hint="eastAsia" w:ascii="宋体" w:hAnsi="宋体"/>
                <w:sz w:val="24"/>
                <w:highlight w:val="none"/>
              </w:rPr>
            </w:pPr>
          </w:p>
        </w:tc>
      </w:tr>
      <w:tr w14:paraId="373E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046" w:type="dxa"/>
            <w:gridSpan w:val="5"/>
            <w:vAlign w:val="center"/>
          </w:tcPr>
          <w:p w14:paraId="3CFFAA8D">
            <w:pPr>
              <w:ind w:right="-4" w:rightChars="-2"/>
              <w:jc w:val="center"/>
              <w:rPr>
                <w:rFonts w:hint="eastAsia" w:ascii="宋体" w:hAnsi="宋体"/>
                <w:b/>
                <w:sz w:val="24"/>
                <w:highlight w:val="none"/>
              </w:rPr>
            </w:pPr>
            <w:r>
              <w:rPr>
                <w:rFonts w:hint="eastAsia" w:ascii="宋体" w:hAnsi="宋体"/>
                <w:b/>
                <w:sz w:val="24"/>
                <w:highlight w:val="none"/>
              </w:rPr>
              <w:t>第三部分：服务说明一览表（如有 ）</w:t>
            </w:r>
          </w:p>
        </w:tc>
      </w:tr>
      <w:tr w14:paraId="667D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9046" w:type="dxa"/>
            <w:gridSpan w:val="5"/>
            <w:vAlign w:val="center"/>
          </w:tcPr>
          <w:p w14:paraId="7E1E5284">
            <w:pPr>
              <w:ind w:right="-4" w:rightChars="-2"/>
              <w:rPr>
                <w:rFonts w:hint="eastAsia" w:ascii="宋体" w:hAnsi="宋体"/>
                <w:sz w:val="24"/>
                <w:highlight w:val="none"/>
              </w:rPr>
            </w:pPr>
            <w:r>
              <w:rPr>
                <w:rFonts w:hint="eastAsia" w:ascii="宋体" w:hAnsi="宋体"/>
                <w:sz w:val="24"/>
                <w:highlight w:val="none"/>
              </w:rPr>
              <w:t xml:space="preserve"> </w:t>
            </w:r>
          </w:p>
          <w:p w14:paraId="6C507AA0">
            <w:pPr>
              <w:ind w:right="-4" w:rightChars="-2"/>
              <w:rPr>
                <w:rFonts w:hint="eastAsia" w:ascii="宋体" w:hAnsi="宋体"/>
                <w:sz w:val="24"/>
                <w:highlight w:val="none"/>
              </w:rPr>
            </w:pPr>
          </w:p>
        </w:tc>
      </w:tr>
    </w:tbl>
    <w:p w14:paraId="6E7BD48E">
      <w:pPr>
        <w:pStyle w:val="19"/>
        <w:spacing w:line="360" w:lineRule="auto"/>
        <w:ind w:right="-4" w:rightChars="-2" w:firstLine="6746" w:firstLineChars="2800"/>
        <w:rPr>
          <w:rFonts w:hint="eastAsia" w:ascii="宋体" w:hAnsi="宋体" w:eastAsia="宋体"/>
          <w:b/>
          <w:sz w:val="24"/>
          <w:highlight w:val="none"/>
        </w:rPr>
      </w:pPr>
      <w:r>
        <w:rPr>
          <w:rFonts w:hint="eastAsia" w:ascii="宋体" w:hAnsi="宋体" w:eastAsia="宋体"/>
          <w:b/>
          <w:sz w:val="24"/>
          <w:highlight w:val="none"/>
        </w:rPr>
        <w:t>供应商公章：</w:t>
      </w:r>
    </w:p>
    <w:p w14:paraId="1F96407A">
      <w:pPr>
        <w:rPr>
          <w:highlight w:val="none"/>
        </w:rPr>
      </w:pPr>
      <w:r>
        <w:rPr>
          <w:rFonts w:hint="eastAsia"/>
          <w:b/>
          <w:bCs/>
          <w:sz w:val="28"/>
          <w:szCs w:val="28"/>
          <w:highlight w:val="none"/>
        </w:rPr>
        <w:br w:type="page"/>
      </w:r>
    </w:p>
    <w:p w14:paraId="62344995">
      <w:pPr>
        <w:spacing w:before="66" w:beforeLines="20" w:after="66" w:afterLines="20" w:line="360" w:lineRule="auto"/>
        <w:ind w:right="-4" w:rightChars="-2"/>
        <w:jc w:val="center"/>
        <w:rPr>
          <w:b/>
          <w:bCs/>
          <w:sz w:val="28"/>
          <w:szCs w:val="28"/>
          <w:highlight w:val="none"/>
        </w:rPr>
      </w:pPr>
      <w:r>
        <w:rPr>
          <w:rFonts w:hint="eastAsia"/>
          <w:b/>
          <w:bCs/>
          <w:sz w:val="28"/>
          <w:szCs w:val="28"/>
          <w:highlight w:val="none"/>
        </w:rPr>
        <w:t xml:space="preserve">（五）授权委托书 </w:t>
      </w:r>
    </w:p>
    <w:p w14:paraId="0AF7BAFD">
      <w:pPr>
        <w:spacing w:line="360" w:lineRule="auto"/>
        <w:ind w:right="-4" w:rightChars="-2" w:firstLine="480" w:firstLineChars="200"/>
        <w:rPr>
          <w:rFonts w:hint="eastAsia" w:hAnsi="宋体"/>
          <w:bCs/>
          <w:sz w:val="24"/>
          <w:szCs w:val="24"/>
          <w:highlight w:val="none"/>
        </w:rPr>
      </w:pPr>
      <w:r>
        <w:rPr>
          <w:rFonts w:hint="eastAsia" w:hAnsi="宋体"/>
          <w:bCs/>
          <w:sz w:val="24"/>
          <w:szCs w:val="24"/>
          <w:highlight w:val="none"/>
        </w:rPr>
        <w:t>本授权书声明：</w:t>
      </w:r>
      <w:r>
        <w:rPr>
          <w:rFonts w:hint="eastAsia" w:hAnsi="宋体"/>
          <w:bCs/>
          <w:sz w:val="24"/>
          <w:szCs w:val="24"/>
          <w:highlight w:val="none"/>
          <w:u w:val="single"/>
        </w:rPr>
        <w:t xml:space="preserve">             </w:t>
      </w:r>
      <w:r>
        <w:rPr>
          <w:rFonts w:hint="eastAsia" w:hAnsi="宋体"/>
          <w:bCs/>
          <w:sz w:val="24"/>
          <w:szCs w:val="24"/>
          <w:highlight w:val="none"/>
        </w:rPr>
        <w:t>公司（工厂）授权本公司（工厂）</w:t>
      </w:r>
      <w:r>
        <w:rPr>
          <w:rFonts w:hint="eastAsia" w:hAnsi="宋体"/>
          <w:bCs/>
          <w:sz w:val="24"/>
          <w:szCs w:val="24"/>
          <w:highlight w:val="none"/>
          <w:u w:val="single"/>
        </w:rPr>
        <w:t xml:space="preserve">          </w:t>
      </w:r>
      <w:r>
        <w:rPr>
          <w:rFonts w:hint="eastAsia" w:hAnsi="宋体"/>
          <w:bCs/>
          <w:sz w:val="24"/>
          <w:szCs w:val="24"/>
          <w:highlight w:val="none"/>
        </w:rPr>
        <w:t>（供应商授权代表姓名、职务、身份证号码）代表本公司（工厂）参加本项目采购活动，全权代表本公司处理采购活动的一切事宜，包括但不限于：磋商、评审、磋商、签约等。供应商授权代表在采购过程中所签署的一切文件和处理与之有关的一切事务，本公司均予以认可并对此承担责任。供应商授权代表无转委托权。</w:t>
      </w:r>
    </w:p>
    <w:p w14:paraId="5CCD37ED">
      <w:pPr>
        <w:spacing w:line="360" w:lineRule="auto"/>
        <w:ind w:right="-4" w:rightChars="-2" w:firstLine="480" w:firstLineChars="200"/>
        <w:rPr>
          <w:rFonts w:hint="eastAsia" w:hAnsi="宋体"/>
          <w:bCs/>
          <w:sz w:val="24"/>
          <w:szCs w:val="24"/>
          <w:highlight w:val="none"/>
          <w:u w:val="single"/>
        </w:rPr>
      </w:pPr>
      <w:r>
        <w:rPr>
          <w:rFonts w:hint="eastAsia" w:hAnsi="宋体"/>
          <w:bCs/>
          <w:sz w:val="24"/>
          <w:szCs w:val="24"/>
          <w:highlight w:val="none"/>
        </w:rPr>
        <w:t>委托期限：</w:t>
      </w:r>
      <w:r>
        <w:rPr>
          <w:rFonts w:hint="eastAsia" w:hAnsi="宋体"/>
          <w:bCs/>
          <w:sz w:val="24"/>
          <w:szCs w:val="24"/>
          <w:highlight w:val="none"/>
          <w:u w:val="single"/>
        </w:rPr>
        <w:t xml:space="preserve">               </w:t>
      </w:r>
    </w:p>
    <w:p w14:paraId="47E76BE5">
      <w:pPr>
        <w:spacing w:line="360" w:lineRule="auto"/>
        <w:ind w:right="-4" w:rightChars="-2" w:firstLine="480" w:firstLineChars="200"/>
        <w:rPr>
          <w:rFonts w:hint="eastAsia" w:hAnsi="宋体"/>
          <w:bCs/>
          <w:sz w:val="24"/>
          <w:szCs w:val="24"/>
          <w:highlight w:val="none"/>
        </w:rPr>
      </w:pPr>
      <w:r>
        <w:rPr>
          <w:rFonts w:hint="eastAsia" w:hAnsi="宋体"/>
          <w:bCs/>
          <w:sz w:val="24"/>
          <w:szCs w:val="24"/>
          <w:highlight w:val="none"/>
        </w:rPr>
        <w:t>特此授权。</w:t>
      </w:r>
    </w:p>
    <w:p w14:paraId="14230025">
      <w:pPr>
        <w:spacing w:line="360" w:lineRule="auto"/>
        <w:ind w:right="-4" w:rightChars="-2" w:firstLine="480" w:firstLineChars="200"/>
        <w:rPr>
          <w:rFonts w:hint="eastAsia" w:hAnsi="宋体"/>
          <w:bCs/>
          <w:sz w:val="24"/>
          <w:szCs w:val="24"/>
          <w:highlight w:val="none"/>
        </w:rPr>
      </w:pPr>
      <w:r>
        <w:rPr>
          <w:rFonts w:hint="eastAsia" w:hAnsi="宋体"/>
          <w:bCs/>
          <w:sz w:val="24"/>
          <w:szCs w:val="24"/>
          <w:highlight w:val="none"/>
        </w:rPr>
        <w:t>本授权书自出具之日起生效。</w:t>
      </w:r>
    </w:p>
    <w:p w14:paraId="1DC937A7">
      <w:pPr>
        <w:spacing w:line="360" w:lineRule="auto"/>
        <w:ind w:right="-4" w:rightChars="-2" w:firstLine="480" w:firstLineChars="200"/>
        <w:rPr>
          <w:rFonts w:hint="eastAsia" w:hAnsi="宋体"/>
          <w:bCs/>
          <w:sz w:val="24"/>
          <w:szCs w:val="24"/>
          <w:highlight w:val="none"/>
        </w:rPr>
      </w:pPr>
      <w:r>
        <w:rPr>
          <w:rFonts w:hint="eastAsia" w:hAnsi="宋体"/>
          <w:bCs/>
          <w:sz w:val="24"/>
          <w:szCs w:val="24"/>
          <w:highlight w:val="none"/>
        </w:rPr>
        <w:t>授权代表身份证明扫描件或影印件：</w:t>
      </w:r>
    </w:p>
    <w:p w14:paraId="4B68BB96">
      <w:pPr>
        <w:spacing w:line="360" w:lineRule="auto"/>
        <w:ind w:right="-4" w:rightChars="-2" w:firstLine="480" w:firstLineChars="200"/>
        <w:rPr>
          <w:rFonts w:hint="eastAsia" w:hAnsi="宋体"/>
          <w:bCs/>
          <w:sz w:val="24"/>
          <w:szCs w:val="24"/>
          <w:highlight w:val="none"/>
        </w:rPr>
      </w:pPr>
    </w:p>
    <w:p w14:paraId="0BF152FF">
      <w:pPr>
        <w:spacing w:line="360" w:lineRule="auto"/>
        <w:ind w:right="-4" w:rightChars="-2"/>
        <w:rPr>
          <w:rFonts w:hint="eastAsia" w:hAnsi="宋体"/>
          <w:bCs/>
          <w:sz w:val="24"/>
          <w:szCs w:val="24"/>
          <w:highlight w:val="none"/>
        </w:rPr>
      </w:pPr>
    </w:p>
    <w:p w14:paraId="4409AA86">
      <w:pPr>
        <w:spacing w:line="360" w:lineRule="auto"/>
        <w:ind w:right="-4" w:rightChars="-2" w:firstLine="480" w:firstLineChars="200"/>
        <w:rPr>
          <w:rFonts w:hint="eastAsia" w:hAnsi="宋体"/>
          <w:bCs/>
          <w:sz w:val="24"/>
          <w:szCs w:val="24"/>
          <w:highlight w:val="none"/>
        </w:rPr>
      </w:pPr>
    </w:p>
    <w:p w14:paraId="41DF9EC3">
      <w:pPr>
        <w:spacing w:line="360" w:lineRule="auto"/>
        <w:ind w:right="-4" w:rightChars="-2" w:firstLine="480" w:firstLineChars="200"/>
        <w:rPr>
          <w:rFonts w:hint="eastAsia" w:hAnsi="宋体"/>
          <w:bCs/>
          <w:sz w:val="24"/>
          <w:szCs w:val="24"/>
          <w:highlight w:val="none"/>
        </w:rPr>
      </w:pPr>
    </w:p>
    <w:p w14:paraId="3ADA6EA4">
      <w:pPr>
        <w:spacing w:line="360" w:lineRule="auto"/>
        <w:ind w:right="-4" w:rightChars="-2" w:firstLine="480" w:firstLineChars="200"/>
        <w:rPr>
          <w:rFonts w:hint="eastAsia" w:hAnsi="宋体"/>
          <w:bCs/>
          <w:sz w:val="24"/>
          <w:szCs w:val="24"/>
          <w:highlight w:val="none"/>
        </w:rPr>
      </w:pPr>
      <w:r>
        <w:rPr>
          <w:rFonts w:hint="eastAsia" w:hAnsi="宋体"/>
          <w:bCs/>
          <w:sz w:val="24"/>
          <w:szCs w:val="24"/>
          <w:highlight w:val="none"/>
        </w:rPr>
        <w:t>授权代表联系方式：</w:t>
      </w:r>
      <w:r>
        <w:rPr>
          <w:rFonts w:hint="eastAsia" w:hAnsi="宋体"/>
          <w:bCs/>
          <w:sz w:val="24"/>
          <w:szCs w:val="24"/>
          <w:highlight w:val="none"/>
          <w:u w:val="single"/>
        </w:rPr>
        <w:t xml:space="preserve">              </w:t>
      </w:r>
      <w:r>
        <w:rPr>
          <w:rFonts w:hint="eastAsia" w:hAnsi="宋体"/>
          <w:bCs/>
          <w:sz w:val="24"/>
          <w:szCs w:val="24"/>
          <w:highlight w:val="none"/>
        </w:rPr>
        <w:t>（请填写手机号码）</w:t>
      </w:r>
    </w:p>
    <w:p w14:paraId="68D34E36">
      <w:pPr>
        <w:pStyle w:val="24"/>
        <w:ind w:firstLine="480" w:firstLineChars="200"/>
        <w:rPr>
          <w:highlight w:val="none"/>
        </w:rPr>
      </w:pPr>
      <w:r>
        <w:rPr>
          <w:rFonts w:hint="eastAsia" w:hAnsi="宋体" w:eastAsia="宋体"/>
          <w:bCs/>
          <w:sz w:val="24"/>
          <w:szCs w:val="24"/>
          <w:highlight w:val="none"/>
        </w:rPr>
        <w:t>附：供应商法定代表人身份证明扫描件或影印件。</w:t>
      </w:r>
    </w:p>
    <w:p w14:paraId="0D6C5625">
      <w:pPr>
        <w:spacing w:line="360" w:lineRule="auto"/>
        <w:ind w:right="-4" w:rightChars="-2" w:firstLine="480" w:firstLineChars="200"/>
        <w:rPr>
          <w:rFonts w:hint="eastAsia" w:hAnsi="宋体"/>
          <w:bCs/>
          <w:sz w:val="24"/>
          <w:szCs w:val="24"/>
          <w:highlight w:val="none"/>
        </w:rPr>
      </w:pPr>
      <w:r>
        <w:rPr>
          <w:rFonts w:hint="eastAsia" w:hAnsi="宋体"/>
          <w:bCs/>
          <w:sz w:val="24"/>
          <w:szCs w:val="24"/>
          <w:highlight w:val="none"/>
        </w:rPr>
        <w:t xml:space="preserve">特此声明。 </w:t>
      </w:r>
    </w:p>
    <w:p w14:paraId="10318BD5">
      <w:pPr>
        <w:spacing w:line="360" w:lineRule="auto"/>
        <w:ind w:right="-4" w:rightChars="-2" w:firstLine="480" w:firstLineChars="200"/>
        <w:rPr>
          <w:rFonts w:hint="eastAsia" w:hAnsi="宋体"/>
          <w:bCs/>
          <w:sz w:val="24"/>
          <w:szCs w:val="24"/>
          <w:highlight w:val="none"/>
        </w:rPr>
      </w:pPr>
    </w:p>
    <w:p w14:paraId="57CE1B4E">
      <w:pPr>
        <w:spacing w:line="360" w:lineRule="auto"/>
        <w:ind w:right="-4" w:rightChars="-2" w:firstLine="5662" w:firstLineChars="2350"/>
        <w:rPr>
          <w:rFonts w:hint="eastAsia" w:hAnsi="宋体"/>
          <w:b/>
          <w:sz w:val="24"/>
          <w:szCs w:val="24"/>
          <w:highlight w:val="none"/>
        </w:rPr>
      </w:pPr>
      <w:r>
        <w:rPr>
          <w:rFonts w:hint="eastAsia" w:hAnsi="宋体"/>
          <w:b/>
          <w:sz w:val="24"/>
          <w:szCs w:val="24"/>
          <w:highlight w:val="none"/>
        </w:rPr>
        <w:t>供应商公章：</w:t>
      </w:r>
    </w:p>
    <w:p w14:paraId="18FA70A1">
      <w:pPr>
        <w:spacing w:line="360" w:lineRule="auto"/>
        <w:ind w:right="-4" w:rightChars="-2"/>
        <w:jc w:val="right"/>
        <w:rPr>
          <w:rFonts w:hint="eastAsia" w:hAnsi="宋体"/>
          <w:bCs/>
          <w:sz w:val="24"/>
          <w:szCs w:val="24"/>
          <w:highlight w:val="none"/>
        </w:rPr>
      </w:pPr>
      <w:r>
        <w:rPr>
          <w:rFonts w:hint="eastAsia" w:hAnsi="宋体"/>
          <w:bCs/>
          <w:sz w:val="24"/>
          <w:szCs w:val="24"/>
          <w:highlight w:val="none"/>
        </w:rPr>
        <w:t>日 期：</w:t>
      </w:r>
      <w:r>
        <w:rPr>
          <w:rFonts w:hint="eastAsia" w:hAnsi="宋体"/>
          <w:bCs/>
          <w:sz w:val="24"/>
          <w:szCs w:val="24"/>
          <w:highlight w:val="none"/>
          <w:u w:val="single"/>
        </w:rPr>
        <w:t xml:space="preserve">    </w:t>
      </w:r>
      <w:r>
        <w:rPr>
          <w:rFonts w:hint="eastAsia" w:hAnsi="宋体"/>
          <w:bCs/>
          <w:sz w:val="24"/>
          <w:szCs w:val="24"/>
          <w:highlight w:val="none"/>
        </w:rPr>
        <w:t>年</w:t>
      </w:r>
      <w:r>
        <w:rPr>
          <w:rFonts w:hint="eastAsia" w:hAnsi="宋体"/>
          <w:bCs/>
          <w:sz w:val="24"/>
          <w:szCs w:val="24"/>
          <w:highlight w:val="none"/>
          <w:u w:val="single"/>
        </w:rPr>
        <w:t xml:space="preserve">    </w:t>
      </w:r>
      <w:r>
        <w:rPr>
          <w:rFonts w:hint="eastAsia" w:hAnsi="宋体"/>
          <w:bCs/>
          <w:sz w:val="24"/>
          <w:szCs w:val="24"/>
          <w:highlight w:val="none"/>
        </w:rPr>
        <w:t>月</w:t>
      </w:r>
      <w:r>
        <w:rPr>
          <w:rFonts w:hint="eastAsia" w:hAnsi="宋体"/>
          <w:bCs/>
          <w:sz w:val="24"/>
          <w:szCs w:val="24"/>
          <w:highlight w:val="none"/>
          <w:u w:val="single"/>
        </w:rPr>
        <w:t xml:space="preserve">    </w:t>
      </w:r>
      <w:r>
        <w:rPr>
          <w:rFonts w:hint="eastAsia" w:hAnsi="宋体"/>
          <w:bCs/>
          <w:sz w:val="24"/>
          <w:szCs w:val="24"/>
          <w:highlight w:val="none"/>
        </w:rPr>
        <w:t>日</w:t>
      </w:r>
    </w:p>
    <w:p w14:paraId="5ABF9C8A">
      <w:pPr>
        <w:spacing w:line="360" w:lineRule="auto"/>
        <w:ind w:right="-4" w:rightChars="-2" w:firstLine="482" w:firstLineChars="200"/>
        <w:rPr>
          <w:rFonts w:hint="eastAsia" w:hAnsi="宋体"/>
          <w:b/>
          <w:bCs/>
          <w:sz w:val="24"/>
          <w:szCs w:val="24"/>
          <w:highlight w:val="none"/>
        </w:rPr>
      </w:pPr>
      <w:r>
        <w:rPr>
          <w:rFonts w:hint="eastAsia" w:hAnsi="宋体"/>
          <w:b/>
          <w:bCs/>
          <w:sz w:val="24"/>
          <w:szCs w:val="24"/>
          <w:highlight w:val="none"/>
        </w:rPr>
        <w:t>备注：</w:t>
      </w:r>
    </w:p>
    <w:p w14:paraId="03E541FD">
      <w:pPr>
        <w:spacing w:line="360" w:lineRule="auto"/>
        <w:ind w:right="-4" w:rightChars="-2" w:firstLine="480" w:firstLineChars="200"/>
        <w:rPr>
          <w:rFonts w:hint="eastAsia" w:hAnsi="宋体"/>
          <w:bCs/>
          <w:sz w:val="24"/>
          <w:szCs w:val="24"/>
          <w:highlight w:val="none"/>
        </w:rPr>
      </w:pPr>
      <w:r>
        <w:rPr>
          <w:rFonts w:hint="eastAsia" w:hAnsi="宋体"/>
          <w:bCs/>
          <w:sz w:val="24"/>
          <w:szCs w:val="24"/>
          <w:highlight w:val="none"/>
        </w:rPr>
        <w:t>1、本项目只允许有唯一的供应商授权代表，提供身份证明扫描件或影印件及供应商法定代表人身份证明扫描件或影印件；</w:t>
      </w:r>
    </w:p>
    <w:p w14:paraId="0D2130F3">
      <w:pPr>
        <w:spacing w:line="360" w:lineRule="auto"/>
        <w:ind w:right="-4" w:rightChars="-2" w:firstLine="480" w:firstLineChars="200"/>
        <w:rPr>
          <w:rFonts w:hint="eastAsia" w:hAnsi="宋体"/>
          <w:bCs/>
          <w:sz w:val="24"/>
          <w:szCs w:val="24"/>
          <w:highlight w:val="none"/>
        </w:rPr>
      </w:pPr>
      <w:r>
        <w:rPr>
          <w:rFonts w:hint="eastAsia" w:hAnsi="宋体"/>
          <w:bCs/>
          <w:sz w:val="24"/>
          <w:szCs w:val="24"/>
          <w:highlight w:val="none"/>
        </w:rPr>
        <w:t>2、供应商法定代表人参加磋商的无需提供授权委托书，提供身份证明扫描件或影印件。</w:t>
      </w:r>
    </w:p>
    <w:p w14:paraId="4D5F89EE">
      <w:pPr>
        <w:spacing w:before="66" w:beforeLines="20" w:after="66" w:afterLines="20" w:line="360" w:lineRule="auto"/>
        <w:ind w:right="-4" w:rightChars="-2"/>
        <w:jc w:val="center"/>
        <w:rPr>
          <w:b/>
          <w:sz w:val="28"/>
          <w:szCs w:val="28"/>
          <w:highlight w:val="none"/>
        </w:rPr>
      </w:pPr>
      <w:r>
        <w:rPr>
          <w:rFonts w:hint="eastAsia"/>
          <w:b/>
          <w:sz w:val="28"/>
          <w:szCs w:val="28"/>
          <w:highlight w:val="none"/>
        </w:rPr>
        <w:br w:type="page"/>
      </w:r>
      <w:r>
        <w:rPr>
          <w:rFonts w:hint="eastAsia"/>
          <w:b/>
          <w:sz w:val="28"/>
          <w:szCs w:val="28"/>
          <w:highlight w:val="none"/>
        </w:rPr>
        <w:t>（六）</w:t>
      </w:r>
      <w:r>
        <w:rPr>
          <w:rFonts w:hint="eastAsia"/>
          <w:b/>
          <w:bCs/>
          <w:sz w:val="28"/>
          <w:szCs w:val="28"/>
          <w:highlight w:val="none"/>
        </w:rPr>
        <w:t>企业业绩、服务方案</w:t>
      </w:r>
    </w:p>
    <w:p w14:paraId="653B5D61">
      <w:pPr>
        <w:spacing w:before="66" w:beforeLines="20" w:after="66" w:afterLines="20" w:line="360" w:lineRule="auto"/>
        <w:ind w:right="-4" w:rightChars="-2"/>
        <w:jc w:val="center"/>
        <w:rPr>
          <w:rFonts w:hint="eastAsia" w:ascii="宋体" w:hAnsi="宋体"/>
          <w:sz w:val="28"/>
          <w:highlight w:val="none"/>
        </w:rPr>
      </w:pPr>
      <w:r>
        <w:rPr>
          <w:rFonts w:hint="eastAsia" w:ascii="宋体" w:hAnsi="宋体"/>
          <w:sz w:val="28"/>
          <w:highlight w:val="none"/>
        </w:rPr>
        <w:t>(响应人可自行制作格式)</w:t>
      </w:r>
    </w:p>
    <w:p w14:paraId="317A3DFD">
      <w:pPr>
        <w:ind w:right="-4" w:rightChars="-2" w:firstLine="630"/>
        <w:rPr>
          <w:rFonts w:hint="eastAsia" w:ascii="宋体" w:hAnsi="宋体"/>
          <w:color w:val="000000"/>
          <w:sz w:val="28"/>
          <w:highlight w:val="none"/>
        </w:rPr>
      </w:pPr>
      <w:r>
        <w:rPr>
          <w:rFonts w:hint="eastAsia"/>
          <w:b/>
          <w:sz w:val="28"/>
          <w:szCs w:val="28"/>
          <w:highlight w:val="none"/>
        </w:rPr>
        <w:br w:type="page"/>
      </w:r>
      <w:bookmarkStart w:id="42" w:name="_Toc417031392"/>
    </w:p>
    <w:p w14:paraId="39A8CE07">
      <w:pPr>
        <w:spacing w:line="400" w:lineRule="exact"/>
        <w:jc w:val="center"/>
        <w:outlineLvl w:val="1"/>
        <w:rPr>
          <w:rFonts w:hint="eastAsia" w:ascii="宋体" w:hAnsi="宋体"/>
          <w:b/>
          <w:color w:val="000000"/>
          <w:sz w:val="28"/>
          <w:szCs w:val="22"/>
          <w:highlight w:val="none"/>
        </w:rPr>
      </w:pPr>
      <w:r>
        <w:rPr>
          <w:rFonts w:hint="eastAsia" w:ascii="宋体" w:hAnsi="宋体"/>
          <w:b/>
          <w:color w:val="000000"/>
          <w:sz w:val="28"/>
          <w:szCs w:val="22"/>
          <w:highlight w:val="none"/>
        </w:rPr>
        <w:t>项目部人员配备表</w:t>
      </w:r>
    </w:p>
    <w:p w14:paraId="1BF4C873">
      <w:pPr>
        <w:spacing w:line="400" w:lineRule="exact"/>
        <w:jc w:val="center"/>
        <w:outlineLvl w:val="1"/>
        <w:rPr>
          <w:rFonts w:hint="eastAsia" w:ascii="宋体" w:hAnsi="宋体"/>
          <w:b/>
          <w:color w:val="000000"/>
          <w:sz w:val="23"/>
          <w:szCs w:val="23"/>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900"/>
        <w:gridCol w:w="720"/>
        <w:gridCol w:w="843"/>
        <w:gridCol w:w="1107"/>
        <w:gridCol w:w="1258"/>
        <w:gridCol w:w="888"/>
        <w:gridCol w:w="1155"/>
        <w:gridCol w:w="1096"/>
        <w:gridCol w:w="824"/>
      </w:tblGrid>
      <w:tr w14:paraId="3C4C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802" w:type="dxa"/>
            <w:vAlign w:val="center"/>
          </w:tcPr>
          <w:p w14:paraId="18BA9874">
            <w:pPr>
              <w:spacing w:line="320" w:lineRule="exact"/>
              <w:jc w:val="center"/>
              <w:rPr>
                <w:rFonts w:hint="eastAsia" w:ascii="宋体" w:hAnsi="宋体"/>
                <w:color w:val="000000"/>
                <w:sz w:val="23"/>
                <w:szCs w:val="23"/>
                <w:highlight w:val="none"/>
              </w:rPr>
            </w:pPr>
            <w:r>
              <w:rPr>
                <w:rFonts w:hint="eastAsia" w:ascii="宋体" w:hAnsi="宋体"/>
                <w:color w:val="000000"/>
                <w:sz w:val="23"/>
                <w:szCs w:val="23"/>
                <w:highlight w:val="none"/>
              </w:rPr>
              <w:t>岗位</w:t>
            </w:r>
          </w:p>
        </w:tc>
        <w:tc>
          <w:tcPr>
            <w:tcW w:w="900" w:type="dxa"/>
            <w:vAlign w:val="center"/>
          </w:tcPr>
          <w:p w14:paraId="49776837">
            <w:pPr>
              <w:spacing w:line="320" w:lineRule="exact"/>
              <w:jc w:val="center"/>
              <w:rPr>
                <w:rFonts w:hint="eastAsia" w:ascii="宋体" w:hAnsi="宋体"/>
                <w:color w:val="000000"/>
                <w:sz w:val="23"/>
                <w:szCs w:val="23"/>
                <w:highlight w:val="none"/>
              </w:rPr>
            </w:pPr>
            <w:r>
              <w:rPr>
                <w:rFonts w:hint="eastAsia" w:ascii="宋体" w:hAnsi="宋体"/>
                <w:color w:val="000000"/>
                <w:sz w:val="23"/>
                <w:szCs w:val="23"/>
                <w:highlight w:val="none"/>
              </w:rPr>
              <w:t>姓名</w:t>
            </w:r>
          </w:p>
        </w:tc>
        <w:tc>
          <w:tcPr>
            <w:tcW w:w="720" w:type="dxa"/>
            <w:vAlign w:val="center"/>
          </w:tcPr>
          <w:p w14:paraId="04E5EA2A">
            <w:pPr>
              <w:spacing w:line="320" w:lineRule="exact"/>
              <w:jc w:val="center"/>
              <w:rPr>
                <w:rFonts w:hint="eastAsia" w:ascii="宋体" w:hAnsi="宋体"/>
                <w:color w:val="000000"/>
                <w:sz w:val="23"/>
                <w:szCs w:val="23"/>
                <w:highlight w:val="none"/>
              </w:rPr>
            </w:pPr>
            <w:r>
              <w:rPr>
                <w:rFonts w:hint="eastAsia" w:ascii="宋体" w:hAnsi="宋体"/>
                <w:color w:val="000000"/>
                <w:sz w:val="23"/>
                <w:szCs w:val="23"/>
                <w:highlight w:val="none"/>
              </w:rPr>
              <w:t>性别</w:t>
            </w:r>
          </w:p>
        </w:tc>
        <w:tc>
          <w:tcPr>
            <w:tcW w:w="843" w:type="dxa"/>
            <w:vAlign w:val="center"/>
          </w:tcPr>
          <w:p w14:paraId="0354FB1E">
            <w:pPr>
              <w:spacing w:line="320" w:lineRule="exact"/>
              <w:jc w:val="center"/>
              <w:rPr>
                <w:rFonts w:hint="eastAsia" w:ascii="宋体" w:hAnsi="宋体"/>
                <w:color w:val="000000"/>
                <w:sz w:val="23"/>
                <w:szCs w:val="23"/>
                <w:highlight w:val="none"/>
              </w:rPr>
            </w:pPr>
            <w:r>
              <w:rPr>
                <w:rFonts w:hint="eastAsia" w:ascii="宋体" w:hAnsi="宋体"/>
                <w:color w:val="000000"/>
                <w:sz w:val="23"/>
                <w:szCs w:val="23"/>
                <w:highlight w:val="none"/>
              </w:rPr>
              <w:t>年龄</w:t>
            </w:r>
          </w:p>
        </w:tc>
        <w:tc>
          <w:tcPr>
            <w:tcW w:w="1107" w:type="dxa"/>
            <w:vAlign w:val="center"/>
          </w:tcPr>
          <w:p w14:paraId="6E3267AA">
            <w:pPr>
              <w:spacing w:line="320" w:lineRule="exact"/>
              <w:jc w:val="center"/>
              <w:rPr>
                <w:rFonts w:hint="eastAsia" w:ascii="宋体" w:hAnsi="宋体"/>
                <w:color w:val="000000"/>
                <w:sz w:val="23"/>
                <w:szCs w:val="23"/>
                <w:highlight w:val="none"/>
              </w:rPr>
            </w:pPr>
            <w:r>
              <w:rPr>
                <w:rFonts w:hint="eastAsia" w:ascii="宋体" w:hAnsi="宋体"/>
                <w:color w:val="000000"/>
                <w:sz w:val="23"/>
                <w:szCs w:val="23"/>
                <w:highlight w:val="none"/>
              </w:rPr>
              <w:t>职称</w:t>
            </w:r>
          </w:p>
        </w:tc>
        <w:tc>
          <w:tcPr>
            <w:tcW w:w="1258" w:type="dxa"/>
            <w:vAlign w:val="center"/>
          </w:tcPr>
          <w:p w14:paraId="1EBFE6B0">
            <w:pPr>
              <w:spacing w:line="320" w:lineRule="exact"/>
              <w:jc w:val="center"/>
              <w:rPr>
                <w:rFonts w:hint="eastAsia" w:ascii="宋体" w:hAnsi="宋体"/>
                <w:color w:val="000000"/>
                <w:sz w:val="23"/>
                <w:szCs w:val="23"/>
                <w:highlight w:val="none"/>
              </w:rPr>
            </w:pPr>
            <w:r>
              <w:rPr>
                <w:rFonts w:hint="eastAsia" w:ascii="宋体" w:hAnsi="宋体"/>
                <w:color w:val="000000"/>
                <w:sz w:val="23"/>
                <w:szCs w:val="23"/>
                <w:highlight w:val="none"/>
              </w:rPr>
              <w:t>职务</w:t>
            </w:r>
          </w:p>
        </w:tc>
        <w:tc>
          <w:tcPr>
            <w:tcW w:w="888" w:type="dxa"/>
            <w:vAlign w:val="center"/>
          </w:tcPr>
          <w:p w14:paraId="4301B725">
            <w:pPr>
              <w:spacing w:line="320" w:lineRule="exact"/>
              <w:jc w:val="center"/>
              <w:rPr>
                <w:rFonts w:hint="eastAsia" w:ascii="宋体" w:hAnsi="宋体"/>
                <w:color w:val="000000"/>
                <w:sz w:val="23"/>
                <w:szCs w:val="23"/>
                <w:highlight w:val="none"/>
              </w:rPr>
            </w:pPr>
            <w:r>
              <w:rPr>
                <w:rFonts w:hint="eastAsia" w:ascii="宋体" w:hAnsi="宋体"/>
                <w:color w:val="000000"/>
                <w:sz w:val="23"/>
                <w:szCs w:val="23"/>
                <w:highlight w:val="none"/>
              </w:rPr>
              <w:t>学历</w:t>
            </w:r>
          </w:p>
        </w:tc>
        <w:tc>
          <w:tcPr>
            <w:tcW w:w="1155" w:type="dxa"/>
            <w:vAlign w:val="center"/>
          </w:tcPr>
          <w:p w14:paraId="33DBCBAD">
            <w:pPr>
              <w:spacing w:line="320" w:lineRule="exact"/>
              <w:jc w:val="center"/>
              <w:rPr>
                <w:rFonts w:hint="eastAsia" w:ascii="宋体" w:hAnsi="宋体"/>
                <w:color w:val="000000"/>
                <w:sz w:val="23"/>
                <w:szCs w:val="23"/>
                <w:highlight w:val="none"/>
              </w:rPr>
            </w:pPr>
            <w:r>
              <w:rPr>
                <w:rFonts w:hint="eastAsia" w:ascii="宋体" w:hAnsi="宋体"/>
                <w:color w:val="000000"/>
                <w:sz w:val="23"/>
                <w:szCs w:val="23"/>
                <w:highlight w:val="none"/>
              </w:rPr>
              <w:t>专业</w:t>
            </w:r>
          </w:p>
        </w:tc>
        <w:tc>
          <w:tcPr>
            <w:tcW w:w="1096" w:type="dxa"/>
            <w:vAlign w:val="center"/>
          </w:tcPr>
          <w:p w14:paraId="12217F65">
            <w:pPr>
              <w:spacing w:line="320" w:lineRule="exact"/>
              <w:jc w:val="center"/>
              <w:rPr>
                <w:rFonts w:hint="eastAsia" w:ascii="宋体" w:hAnsi="宋体"/>
                <w:color w:val="000000"/>
                <w:sz w:val="23"/>
                <w:szCs w:val="23"/>
                <w:highlight w:val="none"/>
              </w:rPr>
            </w:pPr>
            <w:r>
              <w:rPr>
                <w:rFonts w:hint="eastAsia" w:ascii="宋体" w:hAnsi="宋体"/>
                <w:color w:val="000000"/>
                <w:sz w:val="23"/>
                <w:szCs w:val="23"/>
                <w:highlight w:val="none"/>
              </w:rPr>
              <w:t>证书</w:t>
            </w:r>
          </w:p>
          <w:p w14:paraId="2A210D79">
            <w:pPr>
              <w:spacing w:line="320" w:lineRule="exact"/>
              <w:jc w:val="center"/>
              <w:rPr>
                <w:rFonts w:hint="eastAsia" w:ascii="宋体" w:hAnsi="宋体"/>
                <w:color w:val="000000"/>
                <w:sz w:val="23"/>
                <w:szCs w:val="23"/>
                <w:highlight w:val="none"/>
              </w:rPr>
            </w:pPr>
            <w:r>
              <w:rPr>
                <w:rFonts w:hint="eastAsia" w:ascii="宋体" w:hAnsi="宋体"/>
                <w:color w:val="000000"/>
                <w:sz w:val="23"/>
                <w:szCs w:val="23"/>
                <w:highlight w:val="none"/>
              </w:rPr>
              <w:t>编号</w:t>
            </w:r>
          </w:p>
        </w:tc>
        <w:tc>
          <w:tcPr>
            <w:tcW w:w="824" w:type="dxa"/>
            <w:vAlign w:val="center"/>
          </w:tcPr>
          <w:p w14:paraId="510EB53F">
            <w:pPr>
              <w:spacing w:line="320" w:lineRule="exact"/>
              <w:jc w:val="center"/>
              <w:rPr>
                <w:rFonts w:hint="eastAsia" w:ascii="宋体" w:hAnsi="宋体"/>
                <w:color w:val="000000"/>
                <w:sz w:val="23"/>
                <w:szCs w:val="23"/>
                <w:highlight w:val="none"/>
              </w:rPr>
            </w:pPr>
            <w:r>
              <w:rPr>
                <w:rFonts w:hint="eastAsia" w:ascii="宋体" w:hAnsi="宋体"/>
                <w:color w:val="000000"/>
                <w:sz w:val="23"/>
                <w:szCs w:val="23"/>
                <w:highlight w:val="none"/>
              </w:rPr>
              <w:t>备注</w:t>
            </w:r>
          </w:p>
        </w:tc>
      </w:tr>
      <w:tr w14:paraId="0368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vAlign w:val="center"/>
          </w:tcPr>
          <w:p w14:paraId="4BB59864">
            <w:pPr>
              <w:spacing w:line="320" w:lineRule="exact"/>
              <w:jc w:val="center"/>
              <w:rPr>
                <w:rFonts w:hint="eastAsia" w:ascii="宋体" w:hAnsi="宋体"/>
                <w:color w:val="000000"/>
                <w:sz w:val="23"/>
                <w:szCs w:val="23"/>
                <w:highlight w:val="none"/>
              </w:rPr>
            </w:pPr>
          </w:p>
        </w:tc>
        <w:tc>
          <w:tcPr>
            <w:tcW w:w="900" w:type="dxa"/>
            <w:vAlign w:val="center"/>
          </w:tcPr>
          <w:p w14:paraId="10A404CE">
            <w:pPr>
              <w:spacing w:line="320" w:lineRule="exact"/>
              <w:jc w:val="center"/>
              <w:rPr>
                <w:rFonts w:hint="eastAsia" w:ascii="宋体" w:hAnsi="宋体"/>
                <w:color w:val="000000"/>
                <w:sz w:val="23"/>
                <w:szCs w:val="23"/>
                <w:highlight w:val="none"/>
              </w:rPr>
            </w:pPr>
          </w:p>
        </w:tc>
        <w:tc>
          <w:tcPr>
            <w:tcW w:w="720" w:type="dxa"/>
            <w:vAlign w:val="center"/>
          </w:tcPr>
          <w:p w14:paraId="7F590975">
            <w:pPr>
              <w:spacing w:line="320" w:lineRule="exact"/>
              <w:jc w:val="center"/>
              <w:rPr>
                <w:rFonts w:hint="eastAsia" w:ascii="宋体" w:hAnsi="宋体"/>
                <w:color w:val="000000"/>
                <w:sz w:val="23"/>
                <w:szCs w:val="23"/>
                <w:highlight w:val="none"/>
              </w:rPr>
            </w:pPr>
          </w:p>
        </w:tc>
        <w:tc>
          <w:tcPr>
            <w:tcW w:w="843" w:type="dxa"/>
            <w:vAlign w:val="center"/>
          </w:tcPr>
          <w:p w14:paraId="15CCB74E">
            <w:pPr>
              <w:spacing w:line="320" w:lineRule="exact"/>
              <w:jc w:val="center"/>
              <w:rPr>
                <w:rFonts w:hint="eastAsia" w:ascii="宋体" w:hAnsi="宋体"/>
                <w:color w:val="000000"/>
                <w:sz w:val="23"/>
                <w:szCs w:val="23"/>
                <w:highlight w:val="none"/>
              </w:rPr>
            </w:pPr>
          </w:p>
        </w:tc>
        <w:tc>
          <w:tcPr>
            <w:tcW w:w="1107" w:type="dxa"/>
            <w:vAlign w:val="center"/>
          </w:tcPr>
          <w:p w14:paraId="69A0F118">
            <w:pPr>
              <w:spacing w:line="320" w:lineRule="exact"/>
              <w:jc w:val="center"/>
              <w:rPr>
                <w:rFonts w:hint="eastAsia" w:ascii="宋体" w:hAnsi="宋体"/>
                <w:color w:val="000000"/>
                <w:sz w:val="23"/>
                <w:szCs w:val="23"/>
                <w:highlight w:val="none"/>
              </w:rPr>
            </w:pPr>
          </w:p>
        </w:tc>
        <w:tc>
          <w:tcPr>
            <w:tcW w:w="1258" w:type="dxa"/>
            <w:vAlign w:val="center"/>
          </w:tcPr>
          <w:p w14:paraId="5E4E03AD">
            <w:pPr>
              <w:spacing w:line="320" w:lineRule="exact"/>
              <w:jc w:val="center"/>
              <w:rPr>
                <w:rFonts w:hint="eastAsia" w:ascii="宋体" w:hAnsi="宋体"/>
                <w:color w:val="000000"/>
                <w:sz w:val="23"/>
                <w:szCs w:val="23"/>
                <w:highlight w:val="none"/>
              </w:rPr>
            </w:pPr>
          </w:p>
        </w:tc>
        <w:tc>
          <w:tcPr>
            <w:tcW w:w="888" w:type="dxa"/>
            <w:vAlign w:val="center"/>
          </w:tcPr>
          <w:p w14:paraId="71EFFB81">
            <w:pPr>
              <w:spacing w:line="320" w:lineRule="exact"/>
              <w:jc w:val="center"/>
              <w:rPr>
                <w:rFonts w:hint="eastAsia" w:ascii="宋体" w:hAnsi="宋体"/>
                <w:color w:val="000000"/>
                <w:sz w:val="23"/>
                <w:szCs w:val="23"/>
                <w:highlight w:val="none"/>
              </w:rPr>
            </w:pPr>
          </w:p>
        </w:tc>
        <w:tc>
          <w:tcPr>
            <w:tcW w:w="1155" w:type="dxa"/>
            <w:vAlign w:val="center"/>
          </w:tcPr>
          <w:p w14:paraId="1E908724">
            <w:pPr>
              <w:spacing w:line="320" w:lineRule="exact"/>
              <w:jc w:val="center"/>
              <w:rPr>
                <w:rFonts w:hint="eastAsia" w:ascii="宋体" w:hAnsi="宋体"/>
                <w:color w:val="000000"/>
                <w:sz w:val="23"/>
                <w:szCs w:val="23"/>
                <w:highlight w:val="none"/>
              </w:rPr>
            </w:pPr>
          </w:p>
        </w:tc>
        <w:tc>
          <w:tcPr>
            <w:tcW w:w="1096" w:type="dxa"/>
            <w:vAlign w:val="center"/>
          </w:tcPr>
          <w:p w14:paraId="299D2C8C">
            <w:pPr>
              <w:spacing w:line="320" w:lineRule="exact"/>
              <w:jc w:val="center"/>
              <w:rPr>
                <w:rFonts w:hint="eastAsia" w:ascii="宋体" w:hAnsi="宋体"/>
                <w:color w:val="000000"/>
                <w:sz w:val="23"/>
                <w:szCs w:val="23"/>
                <w:highlight w:val="none"/>
              </w:rPr>
            </w:pPr>
          </w:p>
        </w:tc>
        <w:tc>
          <w:tcPr>
            <w:tcW w:w="824" w:type="dxa"/>
          </w:tcPr>
          <w:p w14:paraId="0DC2C0BE">
            <w:pPr>
              <w:spacing w:line="320" w:lineRule="exact"/>
              <w:jc w:val="center"/>
              <w:rPr>
                <w:rFonts w:hint="eastAsia" w:ascii="宋体" w:hAnsi="宋体"/>
                <w:color w:val="000000"/>
                <w:sz w:val="23"/>
                <w:szCs w:val="23"/>
                <w:highlight w:val="none"/>
              </w:rPr>
            </w:pPr>
          </w:p>
        </w:tc>
      </w:tr>
      <w:tr w14:paraId="2B32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vAlign w:val="center"/>
          </w:tcPr>
          <w:p w14:paraId="6BD575B4">
            <w:pPr>
              <w:spacing w:line="320" w:lineRule="exact"/>
              <w:jc w:val="center"/>
              <w:rPr>
                <w:rFonts w:hint="eastAsia" w:ascii="宋体" w:hAnsi="宋体"/>
                <w:color w:val="000000"/>
                <w:sz w:val="23"/>
                <w:szCs w:val="23"/>
                <w:highlight w:val="none"/>
              </w:rPr>
            </w:pPr>
          </w:p>
        </w:tc>
        <w:tc>
          <w:tcPr>
            <w:tcW w:w="900" w:type="dxa"/>
            <w:vAlign w:val="center"/>
          </w:tcPr>
          <w:p w14:paraId="77116BE7">
            <w:pPr>
              <w:spacing w:line="320" w:lineRule="exact"/>
              <w:jc w:val="center"/>
              <w:rPr>
                <w:rFonts w:hint="eastAsia" w:ascii="宋体" w:hAnsi="宋体"/>
                <w:color w:val="000000"/>
                <w:sz w:val="23"/>
                <w:szCs w:val="23"/>
                <w:highlight w:val="none"/>
              </w:rPr>
            </w:pPr>
          </w:p>
        </w:tc>
        <w:tc>
          <w:tcPr>
            <w:tcW w:w="720" w:type="dxa"/>
            <w:vAlign w:val="center"/>
          </w:tcPr>
          <w:p w14:paraId="72658450">
            <w:pPr>
              <w:spacing w:line="320" w:lineRule="exact"/>
              <w:jc w:val="center"/>
              <w:rPr>
                <w:rFonts w:hint="eastAsia" w:ascii="宋体" w:hAnsi="宋体"/>
                <w:color w:val="000000"/>
                <w:sz w:val="23"/>
                <w:szCs w:val="23"/>
                <w:highlight w:val="none"/>
              </w:rPr>
            </w:pPr>
          </w:p>
        </w:tc>
        <w:tc>
          <w:tcPr>
            <w:tcW w:w="843" w:type="dxa"/>
            <w:vAlign w:val="center"/>
          </w:tcPr>
          <w:p w14:paraId="3B91D398">
            <w:pPr>
              <w:spacing w:line="320" w:lineRule="exact"/>
              <w:jc w:val="center"/>
              <w:rPr>
                <w:rFonts w:hint="eastAsia" w:ascii="宋体" w:hAnsi="宋体"/>
                <w:color w:val="000000"/>
                <w:sz w:val="23"/>
                <w:szCs w:val="23"/>
                <w:highlight w:val="none"/>
              </w:rPr>
            </w:pPr>
          </w:p>
        </w:tc>
        <w:tc>
          <w:tcPr>
            <w:tcW w:w="1107" w:type="dxa"/>
            <w:vAlign w:val="center"/>
          </w:tcPr>
          <w:p w14:paraId="646F42A9">
            <w:pPr>
              <w:spacing w:line="320" w:lineRule="exact"/>
              <w:jc w:val="center"/>
              <w:rPr>
                <w:rFonts w:hint="eastAsia" w:ascii="宋体" w:hAnsi="宋体"/>
                <w:color w:val="000000"/>
                <w:sz w:val="23"/>
                <w:szCs w:val="23"/>
                <w:highlight w:val="none"/>
              </w:rPr>
            </w:pPr>
          </w:p>
        </w:tc>
        <w:tc>
          <w:tcPr>
            <w:tcW w:w="1258" w:type="dxa"/>
            <w:vAlign w:val="center"/>
          </w:tcPr>
          <w:p w14:paraId="1B5D426F">
            <w:pPr>
              <w:spacing w:line="320" w:lineRule="exact"/>
              <w:jc w:val="center"/>
              <w:rPr>
                <w:rFonts w:hint="eastAsia" w:ascii="宋体" w:hAnsi="宋体"/>
                <w:color w:val="000000"/>
                <w:sz w:val="23"/>
                <w:szCs w:val="23"/>
                <w:highlight w:val="none"/>
              </w:rPr>
            </w:pPr>
          </w:p>
        </w:tc>
        <w:tc>
          <w:tcPr>
            <w:tcW w:w="888" w:type="dxa"/>
            <w:vAlign w:val="center"/>
          </w:tcPr>
          <w:p w14:paraId="63CA6B86">
            <w:pPr>
              <w:spacing w:line="320" w:lineRule="exact"/>
              <w:jc w:val="center"/>
              <w:rPr>
                <w:rFonts w:hint="eastAsia" w:ascii="宋体" w:hAnsi="宋体"/>
                <w:color w:val="000000"/>
                <w:sz w:val="23"/>
                <w:szCs w:val="23"/>
                <w:highlight w:val="none"/>
              </w:rPr>
            </w:pPr>
          </w:p>
        </w:tc>
        <w:tc>
          <w:tcPr>
            <w:tcW w:w="1155" w:type="dxa"/>
            <w:vAlign w:val="center"/>
          </w:tcPr>
          <w:p w14:paraId="678BCD4B">
            <w:pPr>
              <w:spacing w:line="320" w:lineRule="exact"/>
              <w:jc w:val="center"/>
              <w:rPr>
                <w:rFonts w:hint="eastAsia" w:ascii="宋体" w:hAnsi="宋体"/>
                <w:color w:val="000000"/>
                <w:sz w:val="23"/>
                <w:szCs w:val="23"/>
                <w:highlight w:val="none"/>
              </w:rPr>
            </w:pPr>
          </w:p>
        </w:tc>
        <w:tc>
          <w:tcPr>
            <w:tcW w:w="1096" w:type="dxa"/>
            <w:vAlign w:val="center"/>
          </w:tcPr>
          <w:p w14:paraId="794F9960">
            <w:pPr>
              <w:spacing w:line="320" w:lineRule="exact"/>
              <w:jc w:val="center"/>
              <w:rPr>
                <w:rFonts w:hint="eastAsia" w:ascii="宋体" w:hAnsi="宋体"/>
                <w:color w:val="000000"/>
                <w:sz w:val="23"/>
                <w:szCs w:val="23"/>
                <w:highlight w:val="none"/>
              </w:rPr>
            </w:pPr>
          </w:p>
        </w:tc>
        <w:tc>
          <w:tcPr>
            <w:tcW w:w="824" w:type="dxa"/>
            <w:vAlign w:val="center"/>
          </w:tcPr>
          <w:p w14:paraId="7DBBDDA0">
            <w:pPr>
              <w:spacing w:line="320" w:lineRule="exact"/>
              <w:jc w:val="center"/>
              <w:rPr>
                <w:rFonts w:hint="eastAsia" w:ascii="宋体" w:hAnsi="宋体"/>
                <w:color w:val="000000"/>
                <w:sz w:val="23"/>
                <w:szCs w:val="23"/>
                <w:highlight w:val="none"/>
              </w:rPr>
            </w:pPr>
          </w:p>
        </w:tc>
      </w:tr>
      <w:tr w14:paraId="52BC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vAlign w:val="center"/>
          </w:tcPr>
          <w:p w14:paraId="406AD4FD">
            <w:pPr>
              <w:spacing w:line="320" w:lineRule="exact"/>
              <w:jc w:val="center"/>
              <w:rPr>
                <w:rFonts w:hint="eastAsia" w:ascii="宋体" w:hAnsi="宋体"/>
                <w:color w:val="000000"/>
                <w:sz w:val="23"/>
                <w:szCs w:val="23"/>
                <w:highlight w:val="none"/>
              </w:rPr>
            </w:pPr>
          </w:p>
        </w:tc>
        <w:tc>
          <w:tcPr>
            <w:tcW w:w="900" w:type="dxa"/>
            <w:vAlign w:val="center"/>
          </w:tcPr>
          <w:p w14:paraId="5D79D011">
            <w:pPr>
              <w:spacing w:line="320" w:lineRule="exact"/>
              <w:jc w:val="center"/>
              <w:rPr>
                <w:rFonts w:hint="eastAsia" w:ascii="宋体" w:hAnsi="宋体"/>
                <w:color w:val="000000"/>
                <w:sz w:val="23"/>
                <w:szCs w:val="23"/>
                <w:highlight w:val="none"/>
              </w:rPr>
            </w:pPr>
          </w:p>
        </w:tc>
        <w:tc>
          <w:tcPr>
            <w:tcW w:w="720" w:type="dxa"/>
            <w:vAlign w:val="center"/>
          </w:tcPr>
          <w:p w14:paraId="252FF412">
            <w:pPr>
              <w:spacing w:line="320" w:lineRule="exact"/>
              <w:jc w:val="center"/>
              <w:rPr>
                <w:rFonts w:hint="eastAsia" w:ascii="宋体" w:hAnsi="宋体"/>
                <w:color w:val="000000"/>
                <w:sz w:val="23"/>
                <w:szCs w:val="23"/>
                <w:highlight w:val="none"/>
              </w:rPr>
            </w:pPr>
          </w:p>
        </w:tc>
        <w:tc>
          <w:tcPr>
            <w:tcW w:w="843" w:type="dxa"/>
            <w:vAlign w:val="center"/>
          </w:tcPr>
          <w:p w14:paraId="3BB30C7D">
            <w:pPr>
              <w:spacing w:line="320" w:lineRule="exact"/>
              <w:jc w:val="center"/>
              <w:rPr>
                <w:rFonts w:hint="eastAsia" w:ascii="宋体" w:hAnsi="宋体"/>
                <w:color w:val="000000"/>
                <w:sz w:val="23"/>
                <w:szCs w:val="23"/>
                <w:highlight w:val="none"/>
              </w:rPr>
            </w:pPr>
          </w:p>
        </w:tc>
        <w:tc>
          <w:tcPr>
            <w:tcW w:w="1107" w:type="dxa"/>
            <w:vAlign w:val="center"/>
          </w:tcPr>
          <w:p w14:paraId="5EF2E8DB">
            <w:pPr>
              <w:spacing w:line="320" w:lineRule="exact"/>
              <w:jc w:val="center"/>
              <w:rPr>
                <w:rFonts w:hint="eastAsia" w:ascii="宋体" w:hAnsi="宋体"/>
                <w:color w:val="000000"/>
                <w:sz w:val="23"/>
                <w:szCs w:val="23"/>
                <w:highlight w:val="none"/>
              </w:rPr>
            </w:pPr>
          </w:p>
        </w:tc>
        <w:tc>
          <w:tcPr>
            <w:tcW w:w="1258" w:type="dxa"/>
            <w:vAlign w:val="center"/>
          </w:tcPr>
          <w:p w14:paraId="27DC0468">
            <w:pPr>
              <w:spacing w:line="320" w:lineRule="exact"/>
              <w:jc w:val="center"/>
              <w:rPr>
                <w:rFonts w:hint="eastAsia" w:ascii="宋体" w:hAnsi="宋体"/>
                <w:color w:val="000000"/>
                <w:sz w:val="23"/>
                <w:szCs w:val="23"/>
                <w:highlight w:val="none"/>
              </w:rPr>
            </w:pPr>
          </w:p>
        </w:tc>
        <w:tc>
          <w:tcPr>
            <w:tcW w:w="888" w:type="dxa"/>
            <w:vAlign w:val="center"/>
          </w:tcPr>
          <w:p w14:paraId="3EA1E45F">
            <w:pPr>
              <w:spacing w:line="320" w:lineRule="exact"/>
              <w:jc w:val="center"/>
              <w:rPr>
                <w:rFonts w:hint="eastAsia" w:ascii="宋体" w:hAnsi="宋体"/>
                <w:color w:val="000000"/>
                <w:sz w:val="23"/>
                <w:szCs w:val="23"/>
                <w:highlight w:val="none"/>
              </w:rPr>
            </w:pPr>
          </w:p>
        </w:tc>
        <w:tc>
          <w:tcPr>
            <w:tcW w:w="1155" w:type="dxa"/>
            <w:vAlign w:val="center"/>
          </w:tcPr>
          <w:p w14:paraId="63C2DB23">
            <w:pPr>
              <w:spacing w:line="320" w:lineRule="exact"/>
              <w:jc w:val="center"/>
              <w:rPr>
                <w:rFonts w:hint="eastAsia" w:ascii="宋体" w:hAnsi="宋体"/>
                <w:color w:val="000000"/>
                <w:sz w:val="23"/>
                <w:szCs w:val="23"/>
                <w:highlight w:val="none"/>
              </w:rPr>
            </w:pPr>
          </w:p>
        </w:tc>
        <w:tc>
          <w:tcPr>
            <w:tcW w:w="1096" w:type="dxa"/>
            <w:vAlign w:val="center"/>
          </w:tcPr>
          <w:p w14:paraId="455DCA9F">
            <w:pPr>
              <w:spacing w:line="320" w:lineRule="exact"/>
              <w:jc w:val="center"/>
              <w:rPr>
                <w:rFonts w:hint="eastAsia" w:ascii="宋体" w:hAnsi="宋体"/>
                <w:color w:val="000000"/>
                <w:sz w:val="23"/>
                <w:szCs w:val="23"/>
                <w:highlight w:val="none"/>
              </w:rPr>
            </w:pPr>
          </w:p>
        </w:tc>
        <w:tc>
          <w:tcPr>
            <w:tcW w:w="824" w:type="dxa"/>
            <w:vAlign w:val="center"/>
          </w:tcPr>
          <w:p w14:paraId="3A3307BC">
            <w:pPr>
              <w:spacing w:line="320" w:lineRule="exact"/>
              <w:jc w:val="center"/>
              <w:rPr>
                <w:rFonts w:hint="eastAsia" w:ascii="宋体" w:hAnsi="宋体"/>
                <w:color w:val="000000"/>
                <w:sz w:val="23"/>
                <w:szCs w:val="23"/>
                <w:highlight w:val="none"/>
              </w:rPr>
            </w:pPr>
          </w:p>
        </w:tc>
      </w:tr>
      <w:tr w14:paraId="1068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vAlign w:val="center"/>
          </w:tcPr>
          <w:p w14:paraId="25751045">
            <w:pPr>
              <w:spacing w:line="320" w:lineRule="exact"/>
              <w:jc w:val="center"/>
              <w:rPr>
                <w:rFonts w:hint="eastAsia" w:ascii="宋体" w:hAnsi="宋体"/>
                <w:color w:val="000000"/>
                <w:sz w:val="23"/>
                <w:szCs w:val="23"/>
                <w:highlight w:val="none"/>
              </w:rPr>
            </w:pPr>
          </w:p>
        </w:tc>
        <w:tc>
          <w:tcPr>
            <w:tcW w:w="900" w:type="dxa"/>
            <w:vAlign w:val="center"/>
          </w:tcPr>
          <w:p w14:paraId="16FDF452">
            <w:pPr>
              <w:spacing w:line="320" w:lineRule="exact"/>
              <w:jc w:val="center"/>
              <w:rPr>
                <w:rFonts w:hint="eastAsia" w:ascii="宋体" w:hAnsi="宋体"/>
                <w:color w:val="000000"/>
                <w:sz w:val="23"/>
                <w:szCs w:val="23"/>
                <w:highlight w:val="none"/>
              </w:rPr>
            </w:pPr>
          </w:p>
        </w:tc>
        <w:tc>
          <w:tcPr>
            <w:tcW w:w="720" w:type="dxa"/>
            <w:vAlign w:val="center"/>
          </w:tcPr>
          <w:p w14:paraId="2792ABAF">
            <w:pPr>
              <w:spacing w:line="320" w:lineRule="exact"/>
              <w:jc w:val="center"/>
              <w:rPr>
                <w:rFonts w:hint="eastAsia" w:ascii="宋体" w:hAnsi="宋体"/>
                <w:color w:val="000000"/>
                <w:sz w:val="23"/>
                <w:szCs w:val="23"/>
                <w:highlight w:val="none"/>
              </w:rPr>
            </w:pPr>
          </w:p>
        </w:tc>
        <w:tc>
          <w:tcPr>
            <w:tcW w:w="843" w:type="dxa"/>
            <w:vAlign w:val="center"/>
          </w:tcPr>
          <w:p w14:paraId="40D10D66">
            <w:pPr>
              <w:spacing w:line="320" w:lineRule="exact"/>
              <w:jc w:val="center"/>
              <w:rPr>
                <w:rFonts w:hint="eastAsia" w:ascii="宋体" w:hAnsi="宋体"/>
                <w:color w:val="000000"/>
                <w:sz w:val="23"/>
                <w:szCs w:val="23"/>
                <w:highlight w:val="none"/>
              </w:rPr>
            </w:pPr>
          </w:p>
        </w:tc>
        <w:tc>
          <w:tcPr>
            <w:tcW w:w="1107" w:type="dxa"/>
            <w:vAlign w:val="center"/>
          </w:tcPr>
          <w:p w14:paraId="2EFBDE11">
            <w:pPr>
              <w:spacing w:line="320" w:lineRule="exact"/>
              <w:jc w:val="center"/>
              <w:rPr>
                <w:rFonts w:hint="eastAsia" w:ascii="宋体" w:hAnsi="宋体"/>
                <w:color w:val="000000"/>
                <w:sz w:val="23"/>
                <w:szCs w:val="23"/>
                <w:highlight w:val="none"/>
              </w:rPr>
            </w:pPr>
          </w:p>
        </w:tc>
        <w:tc>
          <w:tcPr>
            <w:tcW w:w="1258" w:type="dxa"/>
            <w:vAlign w:val="center"/>
          </w:tcPr>
          <w:p w14:paraId="0F830E1E">
            <w:pPr>
              <w:spacing w:line="320" w:lineRule="exact"/>
              <w:jc w:val="center"/>
              <w:rPr>
                <w:rFonts w:hint="eastAsia" w:ascii="宋体" w:hAnsi="宋体"/>
                <w:color w:val="000000"/>
                <w:sz w:val="23"/>
                <w:szCs w:val="23"/>
                <w:highlight w:val="none"/>
              </w:rPr>
            </w:pPr>
          </w:p>
        </w:tc>
        <w:tc>
          <w:tcPr>
            <w:tcW w:w="888" w:type="dxa"/>
            <w:vAlign w:val="center"/>
          </w:tcPr>
          <w:p w14:paraId="31C14381">
            <w:pPr>
              <w:spacing w:line="320" w:lineRule="exact"/>
              <w:jc w:val="center"/>
              <w:rPr>
                <w:rFonts w:hint="eastAsia" w:ascii="宋体" w:hAnsi="宋体"/>
                <w:color w:val="000000"/>
                <w:sz w:val="23"/>
                <w:szCs w:val="23"/>
                <w:highlight w:val="none"/>
              </w:rPr>
            </w:pPr>
          </w:p>
        </w:tc>
        <w:tc>
          <w:tcPr>
            <w:tcW w:w="1155" w:type="dxa"/>
            <w:vAlign w:val="center"/>
          </w:tcPr>
          <w:p w14:paraId="5E4784F4">
            <w:pPr>
              <w:spacing w:line="320" w:lineRule="exact"/>
              <w:jc w:val="center"/>
              <w:rPr>
                <w:rFonts w:hint="eastAsia" w:ascii="宋体" w:hAnsi="宋体"/>
                <w:color w:val="000000"/>
                <w:sz w:val="23"/>
                <w:szCs w:val="23"/>
                <w:highlight w:val="none"/>
              </w:rPr>
            </w:pPr>
          </w:p>
        </w:tc>
        <w:tc>
          <w:tcPr>
            <w:tcW w:w="1096" w:type="dxa"/>
            <w:vAlign w:val="center"/>
          </w:tcPr>
          <w:p w14:paraId="78C45D5A">
            <w:pPr>
              <w:spacing w:line="320" w:lineRule="exact"/>
              <w:jc w:val="center"/>
              <w:rPr>
                <w:rFonts w:hint="eastAsia" w:ascii="宋体" w:hAnsi="宋体"/>
                <w:color w:val="000000"/>
                <w:sz w:val="23"/>
                <w:szCs w:val="23"/>
                <w:highlight w:val="none"/>
              </w:rPr>
            </w:pPr>
          </w:p>
        </w:tc>
        <w:tc>
          <w:tcPr>
            <w:tcW w:w="824" w:type="dxa"/>
            <w:vAlign w:val="center"/>
          </w:tcPr>
          <w:p w14:paraId="203E484C">
            <w:pPr>
              <w:spacing w:line="320" w:lineRule="exact"/>
              <w:jc w:val="center"/>
              <w:rPr>
                <w:rFonts w:hint="eastAsia" w:ascii="宋体" w:hAnsi="宋体"/>
                <w:color w:val="000000"/>
                <w:sz w:val="23"/>
                <w:szCs w:val="23"/>
                <w:highlight w:val="none"/>
              </w:rPr>
            </w:pPr>
          </w:p>
        </w:tc>
      </w:tr>
      <w:tr w14:paraId="03F4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vAlign w:val="center"/>
          </w:tcPr>
          <w:p w14:paraId="0DBE58D6">
            <w:pPr>
              <w:spacing w:line="320" w:lineRule="exact"/>
              <w:jc w:val="center"/>
              <w:rPr>
                <w:rFonts w:hint="eastAsia" w:ascii="宋体" w:hAnsi="宋体"/>
                <w:color w:val="000000"/>
                <w:sz w:val="23"/>
                <w:szCs w:val="23"/>
                <w:highlight w:val="none"/>
              </w:rPr>
            </w:pPr>
          </w:p>
        </w:tc>
        <w:tc>
          <w:tcPr>
            <w:tcW w:w="900" w:type="dxa"/>
            <w:vAlign w:val="center"/>
          </w:tcPr>
          <w:p w14:paraId="5A62B978">
            <w:pPr>
              <w:spacing w:line="320" w:lineRule="exact"/>
              <w:jc w:val="center"/>
              <w:rPr>
                <w:rFonts w:hint="eastAsia" w:ascii="宋体" w:hAnsi="宋体"/>
                <w:color w:val="000000"/>
                <w:sz w:val="23"/>
                <w:szCs w:val="23"/>
                <w:highlight w:val="none"/>
              </w:rPr>
            </w:pPr>
          </w:p>
        </w:tc>
        <w:tc>
          <w:tcPr>
            <w:tcW w:w="720" w:type="dxa"/>
            <w:vAlign w:val="center"/>
          </w:tcPr>
          <w:p w14:paraId="1872257C">
            <w:pPr>
              <w:spacing w:line="320" w:lineRule="exact"/>
              <w:jc w:val="center"/>
              <w:rPr>
                <w:rFonts w:hint="eastAsia" w:ascii="宋体" w:hAnsi="宋体"/>
                <w:color w:val="000000"/>
                <w:sz w:val="23"/>
                <w:szCs w:val="23"/>
                <w:highlight w:val="none"/>
              </w:rPr>
            </w:pPr>
          </w:p>
        </w:tc>
        <w:tc>
          <w:tcPr>
            <w:tcW w:w="843" w:type="dxa"/>
            <w:vAlign w:val="center"/>
          </w:tcPr>
          <w:p w14:paraId="6E14C74F">
            <w:pPr>
              <w:spacing w:line="320" w:lineRule="exact"/>
              <w:jc w:val="center"/>
              <w:rPr>
                <w:rFonts w:hint="eastAsia" w:ascii="宋体" w:hAnsi="宋体"/>
                <w:color w:val="000000"/>
                <w:sz w:val="23"/>
                <w:szCs w:val="23"/>
                <w:highlight w:val="none"/>
              </w:rPr>
            </w:pPr>
          </w:p>
        </w:tc>
        <w:tc>
          <w:tcPr>
            <w:tcW w:w="1107" w:type="dxa"/>
            <w:vAlign w:val="center"/>
          </w:tcPr>
          <w:p w14:paraId="2E2F038F">
            <w:pPr>
              <w:spacing w:line="320" w:lineRule="exact"/>
              <w:jc w:val="center"/>
              <w:rPr>
                <w:rFonts w:hint="eastAsia" w:ascii="宋体" w:hAnsi="宋体"/>
                <w:color w:val="000000"/>
                <w:sz w:val="23"/>
                <w:szCs w:val="23"/>
                <w:highlight w:val="none"/>
              </w:rPr>
            </w:pPr>
          </w:p>
        </w:tc>
        <w:tc>
          <w:tcPr>
            <w:tcW w:w="1258" w:type="dxa"/>
            <w:vAlign w:val="center"/>
          </w:tcPr>
          <w:p w14:paraId="5CA8411D">
            <w:pPr>
              <w:spacing w:line="320" w:lineRule="exact"/>
              <w:jc w:val="center"/>
              <w:rPr>
                <w:rFonts w:hint="eastAsia" w:ascii="宋体" w:hAnsi="宋体"/>
                <w:color w:val="000000"/>
                <w:sz w:val="23"/>
                <w:szCs w:val="23"/>
                <w:highlight w:val="none"/>
              </w:rPr>
            </w:pPr>
          </w:p>
        </w:tc>
        <w:tc>
          <w:tcPr>
            <w:tcW w:w="888" w:type="dxa"/>
            <w:vAlign w:val="center"/>
          </w:tcPr>
          <w:p w14:paraId="3DD6F045">
            <w:pPr>
              <w:spacing w:line="320" w:lineRule="exact"/>
              <w:jc w:val="center"/>
              <w:rPr>
                <w:rFonts w:hint="eastAsia" w:ascii="宋体" w:hAnsi="宋体"/>
                <w:color w:val="000000"/>
                <w:sz w:val="23"/>
                <w:szCs w:val="23"/>
                <w:highlight w:val="none"/>
              </w:rPr>
            </w:pPr>
          </w:p>
        </w:tc>
        <w:tc>
          <w:tcPr>
            <w:tcW w:w="1155" w:type="dxa"/>
            <w:vAlign w:val="center"/>
          </w:tcPr>
          <w:p w14:paraId="79CC4EC5">
            <w:pPr>
              <w:spacing w:line="320" w:lineRule="exact"/>
              <w:jc w:val="center"/>
              <w:rPr>
                <w:rFonts w:hint="eastAsia" w:ascii="宋体" w:hAnsi="宋体"/>
                <w:color w:val="000000"/>
                <w:sz w:val="23"/>
                <w:szCs w:val="23"/>
                <w:highlight w:val="none"/>
              </w:rPr>
            </w:pPr>
          </w:p>
        </w:tc>
        <w:tc>
          <w:tcPr>
            <w:tcW w:w="1096" w:type="dxa"/>
            <w:vAlign w:val="center"/>
          </w:tcPr>
          <w:p w14:paraId="2DF6D540">
            <w:pPr>
              <w:spacing w:line="320" w:lineRule="exact"/>
              <w:jc w:val="center"/>
              <w:rPr>
                <w:rFonts w:hint="eastAsia" w:ascii="宋体" w:hAnsi="宋体"/>
                <w:color w:val="000000"/>
                <w:sz w:val="23"/>
                <w:szCs w:val="23"/>
                <w:highlight w:val="none"/>
              </w:rPr>
            </w:pPr>
          </w:p>
        </w:tc>
        <w:tc>
          <w:tcPr>
            <w:tcW w:w="824" w:type="dxa"/>
            <w:vAlign w:val="center"/>
          </w:tcPr>
          <w:p w14:paraId="715FD17D">
            <w:pPr>
              <w:spacing w:line="320" w:lineRule="exact"/>
              <w:jc w:val="center"/>
              <w:rPr>
                <w:rFonts w:hint="eastAsia" w:ascii="宋体" w:hAnsi="宋体"/>
                <w:color w:val="000000"/>
                <w:sz w:val="23"/>
                <w:szCs w:val="23"/>
                <w:highlight w:val="none"/>
              </w:rPr>
            </w:pPr>
          </w:p>
        </w:tc>
      </w:tr>
      <w:tr w14:paraId="563F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2" w:type="dxa"/>
            <w:vAlign w:val="center"/>
          </w:tcPr>
          <w:p w14:paraId="58212CF5">
            <w:pPr>
              <w:spacing w:line="320" w:lineRule="exact"/>
              <w:rPr>
                <w:rFonts w:hint="eastAsia" w:ascii="宋体" w:hAnsi="宋体"/>
                <w:color w:val="000000"/>
                <w:sz w:val="23"/>
                <w:szCs w:val="23"/>
                <w:highlight w:val="none"/>
              </w:rPr>
            </w:pPr>
          </w:p>
        </w:tc>
        <w:tc>
          <w:tcPr>
            <w:tcW w:w="900" w:type="dxa"/>
            <w:vAlign w:val="center"/>
          </w:tcPr>
          <w:p w14:paraId="0BC68C2C">
            <w:pPr>
              <w:spacing w:line="320" w:lineRule="exact"/>
              <w:jc w:val="center"/>
              <w:rPr>
                <w:rFonts w:hint="eastAsia" w:ascii="宋体" w:hAnsi="宋体"/>
                <w:color w:val="000000"/>
                <w:sz w:val="23"/>
                <w:szCs w:val="23"/>
                <w:highlight w:val="none"/>
              </w:rPr>
            </w:pPr>
          </w:p>
        </w:tc>
        <w:tc>
          <w:tcPr>
            <w:tcW w:w="720" w:type="dxa"/>
            <w:vAlign w:val="center"/>
          </w:tcPr>
          <w:p w14:paraId="5AFC2D4E">
            <w:pPr>
              <w:spacing w:line="320" w:lineRule="exact"/>
              <w:jc w:val="center"/>
              <w:rPr>
                <w:rFonts w:hint="eastAsia" w:ascii="宋体" w:hAnsi="宋体"/>
                <w:color w:val="000000"/>
                <w:sz w:val="23"/>
                <w:szCs w:val="23"/>
                <w:highlight w:val="none"/>
              </w:rPr>
            </w:pPr>
          </w:p>
        </w:tc>
        <w:tc>
          <w:tcPr>
            <w:tcW w:w="843" w:type="dxa"/>
            <w:vAlign w:val="center"/>
          </w:tcPr>
          <w:p w14:paraId="1762E174">
            <w:pPr>
              <w:spacing w:line="320" w:lineRule="exact"/>
              <w:jc w:val="center"/>
              <w:rPr>
                <w:rFonts w:hint="eastAsia" w:ascii="宋体" w:hAnsi="宋体"/>
                <w:color w:val="000000"/>
                <w:sz w:val="23"/>
                <w:szCs w:val="23"/>
                <w:highlight w:val="none"/>
              </w:rPr>
            </w:pPr>
          </w:p>
        </w:tc>
        <w:tc>
          <w:tcPr>
            <w:tcW w:w="1107" w:type="dxa"/>
            <w:vAlign w:val="center"/>
          </w:tcPr>
          <w:p w14:paraId="476FE9FE">
            <w:pPr>
              <w:spacing w:line="320" w:lineRule="exact"/>
              <w:jc w:val="center"/>
              <w:rPr>
                <w:rFonts w:hint="eastAsia" w:ascii="宋体" w:hAnsi="宋体"/>
                <w:color w:val="000000"/>
                <w:sz w:val="23"/>
                <w:szCs w:val="23"/>
                <w:highlight w:val="none"/>
              </w:rPr>
            </w:pPr>
          </w:p>
        </w:tc>
        <w:tc>
          <w:tcPr>
            <w:tcW w:w="1258" w:type="dxa"/>
            <w:vAlign w:val="center"/>
          </w:tcPr>
          <w:p w14:paraId="2B70A0B9">
            <w:pPr>
              <w:spacing w:line="320" w:lineRule="exact"/>
              <w:jc w:val="center"/>
              <w:rPr>
                <w:rFonts w:hint="eastAsia" w:ascii="宋体" w:hAnsi="宋体"/>
                <w:color w:val="000000"/>
                <w:sz w:val="23"/>
                <w:szCs w:val="23"/>
                <w:highlight w:val="none"/>
              </w:rPr>
            </w:pPr>
          </w:p>
        </w:tc>
        <w:tc>
          <w:tcPr>
            <w:tcW w:w="888" w:type="dxa"/>
            <w:vAlign w:val="center"/>
          </w:tcPr>
          <w:p w14:paraId="1AD29ED1">
            <w:pPr>
              <w:spacing w:line="320" w:lineRule="exact"/>
              <w:jc w:val="center"/>
              <w:rPr>
                <w:rFonts w:hint="eastAsia" w:ascii="宋体" w:hAnsi="宋体"/>
                <w:color w:val="000000"/>
                <w:sz w:val="23"/>
                <w:szCs w:val="23"/>
                <w:highlight w:val="none"/>
              </w:rPr>
            </w:pPr>
          </w:p>
        </w:tc>
        <w:tc>
          <w:tcPr>
            <w:tcW w:w="1155" w:type="dxa"/>
            <w:vAlign w:val="center"/>
          </w:tcPr>
          <w:p w14:paraId="1D2387F4">
            <w:pPr>
              <w:spacing w:line="320" w:lineRule="exact"/>
              <w:jc w:val="center"/>
              <w:rPr>
                <w:rFonts w:hint="eastAsia" w:ascii="宋体" w:hAnsi="宋体"/>
                <w:color w:val="000000"/>
                <w:sz w:val="23"/>
                <w:szCs w:val="23"/>
                <w:highlight w:val="none"/>
              </w:rPr>
            </w:pPr>
          </w:p>
        </w:tc>
        <w:tc>
          <w:tcPr>
            <w:tcW w:w="1096" w:type="dxa"/>
            <w:vAlign w:val="center"/>
          </w:tcPr>
          <w:p w14:paraId="77234ED0">
            <w:pPr>
              <w:spacing w:line="320" w:lineRule="exact"/>
              <w:jc w:val="center"/>
              <w:rPr>
                <w:rFonts w:hint="eastAsia" w:ascii="宋体" w:hAnsi="宋体"/>
                <w:color w:val="000000"/>
                <w:sz w:val="23"/>
                <w:szCs w:val="23"/>
                <w:highlight w:val="none"/>
              </w:rPr>
            </w:pPr>
          </w:p>
        </w:tc>
        <w:tc>
          <w:tcPr>
            <w:tcW w:w="824" w:type="dxa"/>
            <w:vAlign w:val="center"/>
          </w:tcPr>
          <w:p w14:paraId="20938417">
            <w:pPr>
              <w:spacing w:line="320" w:lineRule="exact"/>
              <w:jc w:val="center"/>
              <w:rPr>
                <w:rFonts w:hint="eastAsia" w:ascii="宋体" w:hAnsi="宋体"/>
                <w:color w:val="000000"/>
                <w:sz w:val="23"/>
                <w:szCs w:val="23"/>
                <w:highlight w:val="none"/>
              </w:rPr>
            </w:pPr>
          </w:p>
        </w:tc>
      </w:tr>
    </w:tbl>
    <w:p w14:paraId="503BB61E">
      <w:pPr>
        <w:spacing w:line="400" w:lineRule="exact"/>
        <w:rPr>
          <w:rFonts w:hint="eastAsia" w:ascii="宋体" w:hAnsi="宋体"/>
          <w:color w:val="000000"/>
          <w:sz w:val="23"/>
          <w:szCs w:val="23"/>
          <w:highlight w:val="none"/>
        </w:rPr>
      </w:pPr>
      <w:r>
        <w:rPr>
          <w:rFonts w:hint="eastAsia" w:ascii="宋体" w:hAnsi="宋体"/>
          <w:color w:val="000000"/>
          <w:sz w:val="23"/>
          <w:szCs w:val="23"/>
          <w:highlight w:val="none"/>
        </w:rPr>
        <w:t>注：1、项目部设置、职责分工等情况辅助说明可另附资料。</w:t>
      </w:r>
    </w:p>
    <w:p w14:paraId="1DC66E7F">
      <w:pPr>
        <w:spacing w:line="400" w:lineRule="exact"/>
        <w:ind w:firstLine="460" w:firstLineChars="200"/>
        <w:rPr>
          <w:rFonts w:hint="eastAsia" w:ascii="宋体" w:hAnsi="宋体"/>
          <w:color w:val="000000"/>
          <w:sz w:val="23"/>
          <w:szCs w:val="23"/>
          <w:highlight w:val="none"/>
        </w:rPr>
      </w:pPr>
      <w:r>
        <w:rPr>
          <w:rFonts w:hint="eastAsia" w:ascii="宋体" w:hAnsi="宋体"/>
          <w:color w:val="000000"/>
          <w:sz w:val="23"/>
          <w:szCs w:val="23"/>
          <w:highlight w:val="none"/>
        </w:rPr>
        <w:t>2、辅助说明资料主要包括职责分工、证明资料以及供应商认为有必要提供的资料；</w:t>
      </w:r>
    </w:p>
    <w:p w14:paraId="6089D08E">
      <w:pPr>
        <w:spacing w:line="400" w:lineRule="exact"/>
        <w:outlineLvl w:val="1"/>
        <w:rPr>
          <w:rFonts w:hint="eastAsia" w:ascii="宋体" w:hAnsi="宋体"/>
          <w:b/>
          <w:color w:val="000000"/>
          <w:sz w:val="23"/>
          <w:szCs w:val="23"/>
          <w:highlight w:val="none"/>
        </w:rPr>
      </w:pPr>
    </w:p>
    <w:p w14:paraId="2212D04C">
      <w:pPr>
        <w:spacing w:line="400" w:lineRule="exact"/>
        <w:jc w:val="right"/>
        <w:outlineLvl w:val="1"/>
        <w:rPr>
          <w:rFonts w:hint="eastAsia" w:ascii="宋体" w:hAnsi="宋体"/>
          <w:color w:val="000000"/>
          <w:sz w:val="23"/>
          <w:szCs w:val="23"/>
          <w:highlight w:val="none"/>
        </w:rPr>
      </w:pPr>
    </w:p>
    <w:p w14:paraId="46CDBEFD">
      <w:pPr>
        <w:spacing w:line="400" w:lineRule="exact"/>
        <w:jc w:val="right"/>
        <w:outlineLvl w:val="1"/>
        <w:rPr>
          <w:rFonts w:hint="eastAsia" w:ascii="宋体" w:hAnsi="宋体"/>
          <w:color w:val="000000"/>
          <w:sz w:val="23"/>
          <w:szCs w:val="23"/>
          <w:highlight w:val="none"/>
        </w:rPr>
      </w:pPr>
      <w:r>
        <w:rPr>
          <w:rFonts w:hint="eastAsia" w:ascii="宋体" w:hAnsi="宋体"/>
          <w:color w:val="000000"/>
          <w:sz w:val="23"/>
          <w:szCs w:val="23"/>
          <w:highlight w:val="none"/>
        </w:rPr>
        <w:t>供应商：</w:t>
      </w:r>
      <w:r>
        <w:rPr>
          <w:rFonts w:hint="eastAsia" w:ascii="宋体" w:hAnsi="宋体"/>
          <w:color w:val="000000"/>
          <w:sz w:val="23"/>
          <w:szCs w:val="23"/>
          <w:highlight w:val="none"/>
          <w:u w:val="single"/>
        </w:rPr>
        <w:t xml:space="preserve">                          </w:t>
      </w:r>
      <w:r>
        <w:rPr>
          <w:rFonts w:hint="eastAsia" w:ascii="宋体" w:hAnsi="宋体"/>
          <w:color w:val="000000"/>
          <w:sz w:val="23"/>
          <w:szCs w:val="23"/>
          <w:highlight w:val="none"/>
        </w:rPr>
        <w:t>（盖单位章）</w:t>
      </w:r>
    </w:p>
    <w:p w14:paraId="5E24BF68">
      <w:pPr>
        <w:spacing w:line="400" w:lineRule="exact"/>
        <w:jc w:val="right"/>
        <w:outlineLvl w:val="1"/>
        <w:rPr>
          <w:rFonts w:hint="eastAsia" w:ascii="宋体" w:hAnsi="宋体"/>
          <w:color w:val="000000"/>
          <w:sz w:val="23"/>
          <w:szCs w:val="23"/>
          <w:highlight w:val="none"/>
        </w:rPr>
      </w:pPr>
      <w:r>
        <w:rPr>
          <w:rFonts w:hint="eastAsia" w:ascii="宋体" w:hAnsi="宋体"/>
          <w:color w:val="000000"/>
          <w:sz w:val="23"/>
          <w:szCs w:val="23"/>
          <w:highlight w:val="none"/>
          <w:u w:val="single"/>
        </w:rPr>
        <w:t xml:space="preserve">         </w:t>
      </w:r>
      <w:r>
        <w:rPr>
          <w:rFonts w:hint="eastAsia" w:ascii="宋体" w:hAnsi="宋体"/>
          <w:color w:val="000000"/>
          <w:sz w:val="23"/>
          <w:szCs w:val="23"/>
          <w:highlight w:val="none"/>
        </w:rPr>
        <w:t>年</w:t>
      </w:r>
      <w:r>
        <w:rPr>
          <w:rFonts w:hint="eastAsia" w:ascii="宋体" w:hAnsi="宋体"/>
          <w:color w:val="000000"/>
          <w:sz w:val="23"/>
          <w:szCs w:val="23"/>
          <w:highlight w:val="none"/>
          <w:u w:val="single"/>
        </w:rPr>
        <w:t xml:space="preserve">      </w:t>
      </w:r>
      <w:r>
        <w:rPr>
          <w:rFonts w:hint="eastAsia" w:ascii="宋体" w:hAnsi="宋体"/>
          <w:color w:val="000000"/>
          <w:sz w:val="23"/>
          <w:szCs w:val="23"/>
          <w:highlight w:val="none"/>
        </w:rPr>
        <w:t>月</w:t>
      </w:r>
      <w:r>
        <w:rPr>
          <w:rFonts w:hint="eastAsia" w:ascii="宋体" w:hAnsi="宋体"/>
          <w:color w:val="000000"/>
          <w:sz w:val="23"/>
          <w:szCs w:val="23"/>
          <w:highlight w:val="none"/>
          <w:u w:val="single"/>
        </w:rPr>
        <w:t xml:space="preserve">        </w:t>
      </w:r>
      <w:r>
        <w:rPr>
          <w:rFonts w:hint="eastAsia" w:ascii="宋体" w:hAnsi="宋体"/>
          <w:color w:val="000000"/>
          <w:sz w:val="23"/>
          <w:szCs w:val="23"/>
          <w:highlight w:val="none"/>
        </w:rPr>
        <w:t>日</w:t>
      </w:r>
    </w:p>
    <w:p w14:paraId="42CFEE45">
      <w:pPr>
        <w:ind w:right="-4" w:rightChars="-2" w:firstLine="630"/>
        <w:jc w:val="center"/>
        <w:rPr>
          <w:rFonts w:hint="eastAsia" w:ascii="宋体" w:hAnsi="宋体"/>
          <w:color w:val="000000"/>
          <w:sz w:val="28"/>
          <w:highlight w:val="none"/>
        </w:rPr>
      </w:pPr>
    </w:p>
    <w:p w14:paraId="3DF49FB6">
      <w:pPr>
        <w:spacing w:before="66" w:beforeLines="20" w:after="66" w:afterLines="20" w:line="360" w:lineRule="auto"/>
        <w:ind w:right="-4" w:rightChars="-2"/>
        <w:jc w:val="center"/>
        <w:rPr>
          <w:rFonts w:hint="eastAsia" w:ascii="宋体" w:hAnsi="宋体"/>
          <w:sz w:val="28"/>
          <w:highlight w:val="none"/>
        </w:rPr>
      </w:pPr>
    </w:p>
    <w:p w14:paraId="6C9FF05E">
      <w:pPr>
        <w:rPr>
          <w:highlight w:val="none"/>
        </w:rPr>
      </w:pPr>
      <w:r>
        <w:rPr>
          <w:rFonts w:hint="eastAsia" w:ascii="宋体" w:hAnsi="宋体"/>
          <w:sz w:val="28"/>
          <w:highlight w:val="none"/>
        </w:rPr>
        <w:br w:type="page"/>
      </w:r>
    </w:p>
    <w:p w14:paraId="4ED52B87">
      <w:pPr>
        <w:pStyle w:val="4"/>
        <w:ind w:right="-4" w:rightChars="-2"/>
        <w:jc w:val="center"/>
        <w:rPr>
          <w:sz w:val="28"/>
          <w:szCs w:val="28"/>
          <w:highlight w:val="none"/>
        </w:rPr>
      </w:pPr>
      <w:r>
        <w:rPr>
          <w:rFonts w:hint="eastAsia"/>
          <w:sz w:val="28"/>
          <w:szCs w:val="28"/>
          <w:highlight w:val="none"/>
        </w:rPr>
        <w:t>（十）供应商声明</w:t>
      </w:r>
      <w:bookmarkEnd w:id="42"/>
      <w:r>
        <w:rPr>
          <w:rFonts w:hint="eastAsia"/>
          <w:sz w:val="28"/>
          <w:szCs w:val="28"/>
          <w:highlight w:val="none"/>
        </w:rPr>
        <w:t>函</w:t>
      </w:r>
    </w:p>
    <w:p w14:paraId="62F3AABD">
      <w:pPr>
        <w:spacing w:line="360" w:lineRule="auto"/>
        <w:jc w:val="left"/>
        <w:rPr>
          <w:rStyle w:val="95"/>
          <w:sz w:val="24"/>
          <w:szCs w:val="24"/>
          <w:highlight w:val="none"/>
        </w:rPr>
      </w:pPr>
      <w:r>
        <w:rPr>
          <w:rStyle w:val="95"/>
          <w:rFonts w:hint="eastAsia"/>
          <w:sz w:val="24"/>
          <w:szCs w:val="24"/>
          <w:highlight w:val="none"/>
        </w:rPr>
        <w:t>1、</w:t>
      </w:r>
      <w:r>
        <w:rPr>
          <w:rStyle w:val="95"/>
          <w:sz w:val="24"/>
          <w:szCs w:val="24"/>
          <w:highlight w:val="none"/>
        </w:rPr>
        <w:t>本公司郑重声明</w:t>
      </w:r>
      <w:r>
        <w:rPr>
          <w:rStyle w:val="95"/>
          <w:rFonts w:hint="eastAsia"/>
          <w:sz w:val="24"/>
          <w:szCs w:val="24"/>
          <w:highlight w:val="none"/>
        </w:rPr>
        <w:t>：</w:t>
      </w:r>
      <w:r>
        <w:rPr>
          <w:rStyle w:val="95"/>
          <w:sz w:val="24"/>
          <w:szCs w:val="24"/>
          <w:highlight w:val="none"/>
        </w:rPr>
        <w:t>我公司完全</w:t>
      </w:r>
      <w:r>
        <w:rPr>
          <w:rStyle w:val="95"/>
          <w:rFonts w:hint="eastAsia"/>
          <w:sz w:val="24"/>
          <w:szCs w:val="24"/>
          <w:highlight w:val="none"/>
        </w:rPr>
        <w:t>符合以下条件</w:t>
      </w:r>
      <w:r>
        <w:rPr>
          <w:rStyle w:val="95"/>
          <w:sz w:val="24"/>
          <w:szCs w:val="24"/>
          <w:highlight w:val="none"/>
        </w:rPr>
        <w:t>：</w:t>
      </w:r>
    </w:p>
    <w:p w14:paraId="38EA068D">
      <w:pPr>
        <w:spacing w:line="360" w:lineRule="auto"/>
        <w:ind w:firstLine="240" w:firstLineChars="100"/>
        <w:jc w:val="left"/>
        <w:rPr>
          <w:rStyle w:val="95"/>
          <w:sz w:val="24"/>
          <w:szCs w:val="24"/>
          <w:highlight w:val="none"/>
        </w:rPr>
      </w:pPr>
      <w:r>
        <w:rPr>
          <w:rStyle w:val="95"/>
          <w:sz w:val="24"/>
          <w:szCs w:val="24"/>
          <w:highlight w:val="none"/>
        </w:rPr>
        <w:t>（1）具有独立承担民事责任的能力；</w:t>
      </w:r>
    </w:p>
    <w:p w14:paraId="050A2CAA">
      <w:pPr>
        <w:spacing w:line="360" w:lineRule="auto"/>
        <w:ind w:firstLine="240" w:firstLineChars="100"/>
        <w:jc w:val="left"/>
        <w:rPr>
          <w:rStyle w:val="95"/>
          <w:sz w:val="24"/>
          <w:szCs w:val="24"/>
          <w:highlight w:val="none"/>
        </w:rPr>
      </w:pPr>
      <w:r>
        <w:rPr>
          <w:rStyle w:val="95"/>
          <w:sz w:val="24"/>
          <w:szCs w:val="24"/>
          <w:highlight w:val="none"/>
        </w:rPr>
        <w:t>（2）具有良好的商业信誉和健全的财务会计制度；</w:t>
      </w:r>
    </w:p>
    <w:p w14:paraId="72601646">
      <w:pPr>
        <w:spacing w:line="360" w:lineRule="auto"/>
        <w:ind w:firstLine="240" w:firstLineChars="100"/>
        <w:jc w:val="left"/>
        <w:rPr>
          <w:rStyle w:val="95"/>
          <w:sz w:val="24"/>
          <w:szCs w:val="24"/>
          <w:highlight w:val="none"/>
        </w:rPr>
      </w:pPr>
      <w:r>
        <w:rPr>
          <w:rStyle w:val="95"/>
          <w:sz w:val="24"/>
          <w:szCs w:val="24"/>
          <w:highlight w:val="none"/>
        </w:rPr>
        <w:t>（3）具有履行合同所必需的设备和专业技术能力；</w:t>
      </w:r>
    </w:p>
    <w:p w14:paraId="6B437530">
      <w:pPr>
        <w:spacing w:line="360" w:lineRule="auto"/>
        <w:ind w:firstLine="240" w:firstLineChars="100"/>
        <w:jc w:val="left"/>
        <w:rPr>
          <w:rStyle w:val="95"/>
          <w:sz w:val="24"/>
          <w:szCs w:val="24"/>
          <w:highlight w:val="none"/>
        </w:rPr>
      </w:pPr>
      <w:r>
        <w:rPr>
          <w:rStyle w:val="95"/>
          <w:sz w:val="24"/>
          <w:szCs w:val="24"/>
          <w:highlight w:val="none"/>
        </w:rPr>
        <w:t>（4）有依法缴纳税收和社会保障资金的良好记录；</w:t>
      </w:r>
    </w:p>
    <w:p w14:paraId="15F392B9">
      <w:pPr>
        <w:spacing w:line="360" w:lineRule="auto"/>
        <w:ind w:firstLine="240" w:firstLineChars="100"/>
        <w:jc w:val="left"/>
        <w:rPr>
          <w:rStyle w:val="95"/>
          <w:sz w:val="24"/>
          <w:szCs w:val="24"/>
          <w:highlight w:val="none"/>
        </w:rPr>
      </w:pPr>
      <w:r>
        <w:rPr>
          <w:rStyle w:val="95"/>
          <w:sz w:val="24"/>
          <w:szCs w:val="24"/>
          <w:highlight w:val="none"/>
        </w:rPr>
        <w:t>（5）参加采购活动前三年内，在经营活动中没有重大违法记录；</w:t>
      </w:r>
    </w:p>
    <w:p w14:paraId="3C50866B">
      <w:pPr>
        <w:spacing w:line="360" w:lineRule="auto"/>
        <w:ind w:firstLine="240" w:firstLineChars="100"/>
        <w:jc w:val="left"/>
        <w:rPr>
          <w:rStyle w:val="95"/>
          <w:sz w:val="24"/>
          <w:szCs w:val="24"/>
          <w:highlight w:val="none"/>
        </w:rPr>
      </w:pPr>
      <w:r>
        <w:rPr>
          <w:rStyle w:val="95"/>
          <w:sz w:val="24"/>
          <w:szCs w:val="24"/>
          <w:highlight w:val="none"/>
        </w:rPr>
        <w:t>（6）符合法律、行政法规规定的其他条件。</w:t>
      </w:r>
    </w:p>
    <w:p w14:paraId="78418E16">
      <w:pPr>
        <w:spacing w:line="360" w:lineRule="auto"/>
        <w:jc w:val="left"/>
        <w:rPr>
          <w:rStyle w:val="95"/>
          <w:sz w:val="24"/>
          <w:szCs w:val="24"/>
          <w:highlight w:val="none"/>
        </w:rPr>
      </w:pPr>
      <w:r>
        <w:rPr>
          <w:rStyle w:val="95"/>
          <w:sz w:val="24"/>
          <w:szCs w:val="24"/>
          <w:highlight w:val="none"/>
        </w:rPr>
        <w:t>2、我公司已按照磋商文件中供应商须知前附表中规定进行了查询，无以下不良信用记录情形：</w:t>
      </w:r>
    </w:p>
    <w:p w14:paraId="05F4CC52">
      <w:pPr>
        <w:spacing w:line="360" w:lineRule="auto"/>
        <w:ind w:firstLine="240" w:firstLineChars="100"/>
        <w:jc w:val="left"/>
        <w:rPr>
          <w:rStyle w:val="95"/>
          <w:sz w:val="24"/>
          <w:szCs w:val="24"/>
          <w:highlight w:val="none"/>
        </w:rPr>
      </w:pPr>
      <w:r>
        <w:rPr>
          <w:rStyle w:val="95"/>
          <w:rFonts w:hint="eastAsia"/>
          <w:sz w:val="24"/>
          <w:szCs w:val="24"/>
          <w:highlight w:val="none"/>
        </w:rPr>
        <w:t>（1）供应商被人民法院列入失信被执行人的；</w:t>
      </w:r>
    </w:p>
    <w:p w14:paraId="1B4F0FAD">
      <w:pPr>
        <w:spacing w:line="360" w:lineRule="auto"/>
        <w:ind w:firstLine="240" w:firstLineChars="100"/>
        <w:jc w:val="left"/>
        <w:rPr>
          <w:rStyle w:val="95"/>
          <w:sz w:val="24"/>
          <w:szCs w:val="24"/>
          <w:highlight w:val="none"/>
        </w:rPr>
      </w:pPr>
      <w:r>
        <w:rPr>
          <w:rStyle w:val="95"/>
          <w:rFonts w:hint="eastAsia"/>
          <w:sz w:val="24"/>
          <w:szCs w:val="24"/>
          <w:highlight w:val="none"/>
        </w:rPr>
        <w:t>（2）供应商被税务部门列入重大税收违法案件当事人名单的；</w:t>
      </w:r>
    </w:p>
    <w:p w14:paraId="431927EE">
      <w:pPr>
        <w:spacing w:line="360" w:lineRule="auto"/>
        <w:ind w:firstLine="240" w:firstLineChars="100"/>
        <w:jc w:val="left"/>
        <w:rPr>
          <w:rStyle w:val="95"/>
          <w:sz w:val="24"/>
          <w:szCs w:val="24"/>
          <w:highlight w:val="none"/>
        </w:rPr>
      </w:pPr>
      <w:r>
        <w:rPr>
          <w:rStyle w:val="95"/>
          <w:rFonts w:hint="eastAsia"/>
          <w:sz w:val="24"/>
          <w:szCs w:val="24"/>
          <w:highlight w:val="none"/>
        </w:rPr>
        <w:t>（3）供应商、法定代表人或拟派项目经理（项目负责人）被列入行贿犯罪档案；</w:t>
      </w:r>
    </w:p>
    <w:p w14:paraId="371DA543">
      <w:pPr>
        <w:spacing w:line="360" w:lineRule="auto"/>
        <w:ind w:firstLine="480" w:firstLineChars="200"/>
        <w:jc w:val="left"/>
        <w:rPr>
          <w:rStyle w:val="95"/>
          <w:sz w:val="24"/>
          <w:szCs w:val="24"/>
          <w:highlight w:val="none"/>
        </w:rPr>
      </w:pPr>
      <w:r>
        <w:rPr>
          <w:rStyle w:val="95"/>
          <w:sz w:val="24"/>
          <w:szCs w:val="24"/>
          <w:highlight w:val="none"/>
        </w:rPr>
        <w:t>我公司承诺：合同签订前，若我公司</w:t>
      </w:r>
      <w:r>
        <w:rPr>
          <w:rStyle w:val="95"/>
          <w:rFonts w:hint="eastAsia"/>
          <w:sz w:val="24"/>
          <w:szCs w:val="24"/>
          <w:highlight w:val="none"/>
        </w:rPr>
        <w:t>不符和上述条件</w:t>
      </w:r>
      <w:r>
        <w:rPr>
          <w:rStyle w:val="95"/>
          <w:sz w:val="24"/>
          <w:szCs w:val="24"/>
          <w:highlight w:val="none"/>
        </w:rPr>
        <w:t>，或具有不良信用记录情形，贵方可取消我公司成交资格或者不授予合同，所有责任由我公司自行承担。同时，我公司愿意无条件接受监管部门的调查处理。</w:t>
      </w:r>
    </w:p>
    <w:p w14:paraId="0759BFFA">
      <w:pPr>
        <w:spacing w:line="360" w:lineRule="auto"/>
        <w:ind w:firstLine="480" w:firstLineChars="200"/>
        <w:jc w:val="left"/>
        <w:rPr>
          <w:rStyle w:val="95"/>
          <w:sz w:val="24"/>
          <w:szCs w:val="24"/>
          <w:highlight w:val="none"/>
        </w:rPr>
      </w:pPr>
      <w:r>
        <w:rPr>
          <w:rStyle w:val="95"/>
          <w:sz w:val="24"/>
          <w:szCs w:val="24"/>
          <w:highlight w:val="none"/>
        </w:rPr>
        <w:t>本公司对上述声明的真实性负责。如有虚假，将依法承担相应责任。</w:t>
      </w:r>
    </w:p>
    <w:p w14:paraId="19269BFC">
      <w:pPr>
        <w:spacing w:line="400" w:lineRule="exact"/>
        <w:ind w:right="-4" w:rightChars="-2"/>
        <w:rPr>
          <w:rFonts w:ascii="仿宋_GB2312" w:eastAsia="仿宋_GB2312"/>
          <w:sz w:val="24"/>
          <w:szCs w:val="24"/>
          <w:highlight w:val="none"/>
        </w:rPr>
      </w:pPr>
    </w:p>
    <w:p w14:paraId="793AD4EE">
      <w:pPr>
        <w:spacing w:line="400" w:lineRule="exact"/>
        <w:ind w:right="-4" w:rightChars="-2" w:firstLine="5264" w:firstLineChars="2185"/>
        <w:rPr>
          <w:rFonts w:hint="eastAsia" w:ascii="宋体" w:hAnsi="宋体"/>
          <w:b/>
          <w:bCs/>
          <w:sz w:val="24"/>
          <w:szCs w:val="28"/>
          <w:highlight w:val="none"/>
        </w:rPr>
      </w:pPr>
      <w:r>
        <w:rPr>
          <w:rFonts w:hint="eastAsia" w:ascii="宋体" w:hAnsi="宋体"/>
          <w:b/>
          <w:bCs/>
          <w:sz w:val="24"/>
          <w:szCs w:val="28"/>
          <w:highlight w:val="none"/>
        </w:rPr>
        <w:t>供应商公章：</w:t>
      </w:r>
      <w:r>
        <w:rPr>
          <w:rFonts w:hint="eastAsia" w:ascii="宋体" w:hAnsi="宋体"/>
          <w:b/>
          <w:bCs/>
          <w:sz w:val="24"/>
          <w:szCs w:val="28"/>
          <w:highlight w:val="none"/>
          <w:u w:val="single"/>
        </w:rPr>
        <w:t xml:space="preserve">         </w:t>
      </w:r>
    </w:p>
    <w:p w14:paraId="6107AC1D">
      <w:pPr>
        <w:spacing w:line="400" w:lineRule="exact"/>
        <w:ind w:right="-4" w:rightChars="-2" w:firstLine="5244" w:firstLineChars="2185"/>
        <w:rPr>
          <w:rFonts w:hint="eastAsia" w:ascii="仿宋_GB2312" w:hAnsi="宋体" w:eastAsia="仿宋_GB2312"/>
          <w:sz w:val="24"/>
          <w:szCs w:val="24"/>
          <w:highlight w:val="none"/>
        </w:rPr>
      </w:pPr>
      <w:r>
        <w:rPr>
          <w:rFonts w:hint="eastAsia" w:ascii="仿宋_GB2312" w:hAnsi="宋体" w:eastAsia="仿宋_GB2312"/>
          <w:sz w:val="24"/>
          <w:szCs w:val="24"/>
          <w:highlight w:val="none"/>
        </w:rPr>
        <w:t xml:space="preserve"> </w:t>
      </w:r>
    </w:p>
    <w:p w14:paraId="7E62C5E6">
      <w:pPr>
        <w:spacing w:before="66" w:beforeLines="20" w:after="66" w:afterLines="20" w:line="360" w:lineRule="auto"/>
        <w:ind w:right="-4" w:rightChars="-2"/>
        <w:jc w:val="center"/>
        <w:rPr>
          <w:b/>
          <w:sz w:val="28"/>
          <w:szCs w:val="28"/>
          <w:highlight w:val="none"/>
        </w:rPr>
      </w:pPr>
      <w:r>
        <w:rPr>
          <w:rFonts w:hint="eastAsia"/>
          <w:b/>
          <w:sz w:val="28"/>
          <w:szCs w:val="28"/>
          <w:highlight w:val="none"/>
        </w:rPr>
        <w:br w:type="page"/>
      </w:r>
      <w:r>
        <w:rPr>
          <w:rFonts w:hint="eastAsia"/>
          <w:b/>
          <w:sz w:val="28"/>
          <w:szCs w:val="28"/>
          <w:highlight w:val="none"/>
        </w:rPr>
        <w:t>（十一）与评审有关的证明文件</w:t>
      </w:r>
    </w:p>
    <w:p w14:paraId="2E4F01F1">
      <w:pPr>
        <w:jc w:val="center"/>
        <w:rPr>
          <w:rFonts w:hint="eastAsia" w:hAnsi="宋体"/>
          <w:bCs/>
          <w:sz w:val="28"/>
          <w:szCs w:val="32"/>
          <w:highlight w:val="none"/>
        </w:rPr>
      </w:pPr>
      <w:r>
        <w:rPr>
          <w:rFonts w:hint="eastAsia" w:hAnsi="宋体"/>
          <w:bCs/>
          <w:sz w:val="28"/>
          <w:szCs w:val="32"/>
          <w:highlight w:val="none"/>
        </w:rPr>
        <w:t>(供应商可自行制作格式)</w:t>
      </w:r>
    </w:p>
    <w:p w14:paraId="280A37EB">
      <w:pPr>
        <w:tabs>
          <w:tab w:val="left" w:pos="4620"/>
        </w:tabs>
        <w:spacing w:line="360" w:lineRule="auto"/>
        <w:ind w:right="-4" w:rightChars="-2" w:firstLine="482" w:firstLineChars="200"/>
        <w:rPr>
          <w:rFonts w:hint="eastAsia" w:ascii="宋体" w:hAnsi="宋体"/>
          <w:sz w:val="24"/>
          <w:szCs w:val="24"/>
          <w:highlight w:val="none"/>
        </w:rPr>
      </w:pPr>
      <w:bookmarkStart w:id="43" w:name="_Toc300210391"/>
      <w:bookmarkStart w:id="44" w:name="_Toc351103060"/>
      <w:r>
        <w:rPr>
          <w:rFonts w:hint="eastAsia"/>
          <w:b/>
          <w:sz w:val="24"/>
          <w:szCs w:val="24"/>
          <w:highlight w:val="none"/>
        </w:rPr>
        <w:t>备注：</w:t>
      </w:r>
    </w:p>
    <w:p w14:paraId="2B100325">
      <w:pPr>
        <w:tabs>
          <w:tab w:val="left" w:pos="4620"/>
        </w:tabs>
        <w:spacing w:line="360" w:lineRule="auto"/>
        <w:ind w:right="-4" w:rightChars="-2" w:firstLine="480" w:firstLineChars="200"/>
        <w:rPr>
          <w:rFonts w:hint="eastAsia" w:ascii="宋体" w:hAnsi="宋体" w:cs="Arial"/>
          <w:sz w:val="24"/>
          <w:szCs w:val="24"/>
          <w:highlight w:val="none"/>
        </w:rPr>
      </w:pPr>
      <w:r>
        <w:rPr>
          <w:rFonts w:hint="eastAsia" w:ascii="宋体" w:hAnsi="宋体"/>
          <w:sz w:val="24"/>
          <w:szCs w:val="24"/>
          <w:highlight w:val="none"/>
        </w:rPr>
        <w:t>1、与评审有关的证明文件详见采购需求、评审办法；</w:t>
      </w:r>
    </w:p>
    <w:p w14:paraId="205574F1">
      <w:pPr>
        <w:tabs>
          <w:tab w:val="left" w:pos="4620"/>
        </w:tabs>
        <w:spacing w:line="360" w:lineRule="auto"/>
        <w:ind w:right="-4" w:rightChars="-2" w:firstLine="480" w:firstLineChars="200"/>
        <w:rPr>
          <w:sz w:val="24"/>
          <w:szCs w:val="24"/>
          <w:highlight w:val="none"/>
        </w:rPr>
      </w:pPr>
      <w:r>
        <w:rPr>
          <w:rFonts w:hint="eastAsia"/>
          <w:sz w:val="24"/>
          <w:szCs w:val="24"/>
          <w:highlight w:val="none"/>
        </w:rPr>
        <w:t>2、请供应商自行将所要求的证明、证件资料按采购需求和评审办法的评审顺序依次制作，并制作目录、标明页码。</w:t>
      </w:r>
    </w:p>
    <w:p w14:paraId="0973F481">
      <w:pPr>
        <w:keepNext/>
        <w:keepLines/>
        <w:autoSpaceDE w:val="0"/>
        <w:autoSpaceDN w:val="0"/>
        <w:adjustRightInd w:val="0"/>
        <w:spacing w:line="360" w:lineRule="auto"/>
        <w:ind w:left="-1" w:firstLine="480" w:firstLineChars="200"/>
        <w:rPr>
          <w:sz w:val="24"/>
          <w:szCs w:val="24"/>
          <w:highlight w:val="none"/>
        </w:rPr>
      </w:pPr>
      <w:r>
        <w:rPr>
          <w:rFonts w:hint="eastAsia"/>
          <w:sz w:val="24"/>
          <w:szCs w:val="24"/>
          <w:highlight w:val="none"/>
        </w:rPr>
        <w:t>3、与评审有关的证明文件索引目录格式：</w:t>
      </w:r>
    </w:p>
    <w:tbl>
      <w:tblPr>
        <w:tblStyle w:val="37"/>
        <w:tblW w:w="8217" w:type="dxa"/>
        <w:tblInd w:w="320" w:type="dxa"/>
        <w:tblLayout w:type="fixed"/>
        <w:tblCellMar>
          <w:top w:w="0" w:type="dxa"/>
          <w:left w:w="108" w:type="dxa"/>
          <w:bottom w:w="0" w:type="dxa"/>
          <w:right w:w="108" w:type="dxa"/>
        </w:tblCellMar>
      </w:tblPr>
      <w:tblGrid>
        <w:gridCol w:w="956"/>
        <w:gridCol w:w="2186"/>
        <w:gridCol w:w="2087"/>
        <w:gridCol w:w="2988"/>
      </w:tblGrid>
      <w:tr w14:paraId="7E22B584">
        <w:tblPrEx>
          <w:tblCellMar>
            <w:top w:w="0" w:type="dxa"/>
            <w:left w:w="108" w:type="dxa"/>
            <w:bottom w:w="0" w:type="dxa"/>
            <w:right w:w="108" w:type="dxa"/>
          </w:tblCellMar>
        </w:tblPrEx>
        <w:trPr>
          <w:trHeight w:val="600" w:hRule="atLeast"/>
        </w:trPr>
        <w:tc>
          <w:tcPr>
            <w:tcW w:w="95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077C01F">
            <w:pPr>
              <w:autoSpaceDE w:val="0"/>
              <w:autoSpaceDN w:val="0"/>
              <w:adjustRightInd w:val="0"/>
              <w:jc w:val="center"/>
              <w:rPr>
                <w:rFonts w:ascii="宋体" w:cs="宋体"/>
                <w:kern w:val="0"/>
                <w:sz w:val="22"/>
                <w:szCs w:val="22"/>
                <w:highlight w:val="none"/>
                <w:lang w:val="zh-CN"/>
              </w:rPr>
            </w:pPr>
            <w:r>
              <w:rPr>
                <w:rFonts w:hint="eastAsia" w:ascii="宋体" w:cs="宋体"/>
                <w:b/>
                <w:bCs/>
                <w:kern w:val="0"/>
                <w:sz w:val="24"/>
                <w:szCs w:val="24"/>
                <w:highlight w:val="none"/>
                <w:lang w:val="zh-CN"/>
              </w:rPr>
              <w:t>序号</w:t>
            </w:r>
          </w:p>
        </w:tc>
        <w:tc>
          <w:tcPr>
            <w:tcW w:w="2186" w:type="dxa"/>
            <w:tcBorders>
              <w:top w:val="single" w:color="000000" w:sz="2" w:space="0"/>
              <w:left w:val="nil"/>
              <w:bottom w:val="single" w:color="000000" w:sz="2" w:space="0"/>
              <w:right w:val="single" w:color="000000" w:sz="2" w:space="0"/>
            </w:tcBorders>
            <w:shd w:val="clear" w:color="000000" w:fill="FFFFFF"/>
            <w:vAlign w:val="center"/>
          </w:tcPr>
          <w:p w14:paraId="4D123523">
            <w:pPr>
              <w:autoSpaceDE w:val="0"/>
              <w:autoSpaceDN w:val="0"/>
              <w:adjustRightInd w:val="0"/>
              <w:jc w:val="center"/>
              <w:rPr>
                <w:rFonts w:ascii="宋体" w:cs="宋体"/>
                <w:kern w:val="0"/>
                <w:sz w:val="22"/>
                <w:szCs w:val="22"/>
                <w:highlight w:val="none"/>
                <w:lang w:val="zh-CN"/>
              </w:rPr>
            </w:pPr>
            <w:r>
              <w:rPr>
                <w:rFonts w:hint="eastAsia" w:ascii="宋体" w:cs="宋体"/>
                <w:b/>
                <w:bCs/>
                <w:kern w:val="0"/>
                <w:sz w:val="24"/>
                <w:szCs w:val="24"/>
                <w:highlight w:val="none"/>
                <w:lang w:val="zh-CN"/>
              </w:rPr>
              <w:t>磋商文件</w:t>
            </w:r>
            <w:r>
              <w:rPr>
                <w:rFonts w:ascii="宋体" w:cs="宋体"/>
                <w:b/>
                <w:bCs/>
                <w:kern w:val="0"/>
                <w:sz w:val="24"/>
                <w:szCs w:val="24"/>
                <w:highlight w:val="none"/>
                <w:lang w:val="zh-CN"/>
              </w:rPr>
              <w:t>“</w:t>
            </w:r>
            <w:r>
              <w:rPr>
                <w:rFonts w:hint="eastAsia" w:ascii="宋体" w:cs="宋体"/>
                <w:b/>
                <w:bCs/>
                <w:kern w:val="0"/>
                <w:sz w:val="24"/>
                <w:szCs w:val="24"/>
                <w:highlight w:val="none"/>
                <w:lang w:val="zh-CN"/>
              </w:rPr>
              <w:t>评审办法</w:t>
            </w:r>
            <w:r>
              <w:rPr>
                <w:rFonts w:ascii="宋体" w:cs="宋体"/>
                <w:b/>
                <w:bCs/>
                <w:kern w:val="0"/>
                <w:sz w:val="24"/>
                <w:szCs w:val="24"/>
                <w:highlight w:val="none"/>
                <w:lang w:val="zh-CN"/>
              </w:rPr>
              <w:t>”</w:t>
            </w:r>
            <w:r>
              <w:rPr>
                <w:rFonts w:hint="eastAsia" w:ascii="宋体" w:cs="宋体"/>
                <w:b/>
                <w:bCs/>
                <w:kern w:val="0"/>
                <w:sz w:val="24"/>
                <w:szCs w:val="24"/>
                <w:highlight w:val="none"/>
                <w:lang w:val="zh-CN"/>
              </w:rPr>
              <w:t>评审对应指标</w:t>
            </w:r>
          </w:p>
        </w:tc>
        <w:tc>
          <w:tcPr>
            <w:tcW w:w="2087" w:type="dxa"/>
            <w:tcBorders>
              <w:top w:val="single" w:color="000000" w:sz="2" w:space="0"/>
              <w:left w:val="nil"/>
              <w:bottom w:val="single" w:color="000000" w:sz="2" w:space="0"/>
              <w:right w:val="single" w:color="000000" w:sz="2" w:space="0"/>
            </w:tcBorders>
            <w:shd w:val="clear" w:color="000000" w:fill="FFFFFF"/>
            <w:vAlign w:val="center"/>
          </w:tcPr>
          <w:p w14:paraId="4E8D4B51">
            <w:pPr>
              <w:autoSpaceDE w:val="0"/>
              <w:autoSpaceDN w:val="0"/>
              <w:adjustRightInd w:val="0"/>
              <w:jc w:val="center"/>
              <w:rPr>
                <w:rFonts w:ascii="宋体" w:cs="宋体"/>
                <w:b/>
                <w:bCs/>
                <w:kern w:val="0"/>
                <w:sz w:val="24"/>
                <w:szCs w:val="24"/>
                <w:highlight w:val="none"/>
                <w:lang w:val="zh-CN"/>
              </w:rPr>
            </w:pPr>
            <w:r>
              <w:rPr>
                <w:rFonts w:hint="eastAsia" w:ascii="宋体" w:cs="宋体"/>
                <w:b/>
                <w:bCs/>
                <w:kern w:val="0"/>
                <w:sz w:val="24"/>
                <w:szCs w:val="24"/>
                <w:highlight w:val="none"/>
                <w:lang w:val="zh-CN"/>
              </w:rPr>
              <w:t>陈述、说明、方案及</w:t>
            </w:r>
          </w:p>
          <w:p w14:paraId="1D8F46D5">
            <w:pPr>
              <w:autoSpaceDE w:val="0"/>
              <w:autoSpaceDN w:val="0"/>
              <w:adjustRightInd w:val="0"/>
              <w:jc w:val="center"/>
              <w:rPr>
                <w:rFonts w:ascii="宋体" w:cs="宋体"/>
                <w:kern w:val="0"/>
                <w:sz w:val="22"/>
                <w:szCs w:val="22"/>
                <w:highlight w:val="none"/>
                <w:lang w:val="zh-CN"/>
              </w:rPr>
            </w:pPr>
            <w:r>
              <w:rPr>
                <w:rFonts w:hint="eastAsia" w:ascii="宋体" w:cs="宋体"/>
                <w:b/>
                <w:bCs/>
                <w:kern w:val="0"/>
                <w:sz w:val="24"/>
                <w:szCs w:val="24"/>
                <w:highlight w:val="none"/>
                <w:lang w:val="zh-CN"/>
              </w:rPr>
              <w:t>证明资料名称</w:t>
            </w:r>
          </w:p>
        </w:tc>
        <w:tc>
          <w:tcPr>
            <w:tcW w:w="2988" w:type="dxa"/>
            <w:tcBorders>
              <w:top w:val="single" w:color="000000" w:sz="2" w:space="0"/>
              <w:left w:val="nil"/>
              <w:bottom w:val="single" w:color="000000" w:sz="2" w:space="0"/>
              <w:right w:val="single" w:color="000000" w:sz="2" w:space="0"/>
            </w:tcBorders>
            <w:shd w:val="clear" w:color="000000" w:fill="FFFFFF"/>
            <w:vAlign w:val="center"/>
          </w:tcPr>
          <w:p w14:paraId="1C9D1C24">
            <w:pPr>
              <w:autoSpaceDE w:val="0"/>
              <w:autoSpaceDN w:val="0"/>
              <w:adjustRightInd w:val="0"/>
              <w:jc w:val="center"/>
              <w:rPr>
                <w:rFonts w:ascii="宋体" w:cs="宋体"/>
                <w:b/>
                <w:bCs/>
                <w:kern w:val="0"/>
                <w:sz w:val="24"/>
                <w:szCs w:val="24"/>
                <w:highlight w:val="none"/>
                <w:lang w:val="zh-CN"/>
              </w:rPr>
            </w:pPr>
            <w:r>
              <w:rPr>
                <w:rFonts w:hint="eastAsia" w:ascii="宋体" w:cs="宋体"/>
                <w:b/>
                <w:bCs/>
                <w:kern w:val="0"/>
                <w:sz w:val="24"/>
                <w:szCs w:val="24"/>
                <w:highlight w:val="none"/>
                <w:lang w:val="zh-CN"/>
              </w:rPr>
              <w:t>对应本章节页码范围</w:t>
            </w:r>
          </w:p>
          <w:p w14:paraId="524D64D9">
            <w:pPr>
              <w:autoSpaceDE w:val="0"/>
              <w:autoSpaceDN w:val="0"/>
              <w:adjustRightInd w:val="0"/>
              <w:jc w:val="center"/>
              <w:rPr>
                <w:rFonts w:ascii="宋体" w:cs="宋体"/>
                <w:kern w:val="0"/>
                <w:sz w:val="22"/>
                <w:szCs w:val="22"/>
                <w:highlight w:val="none"/>
                <w:lang w:val="zh-CN"/>
              </w:rPr>
            </w:pPr>
            <w:r>
              <w:rPr>
                <w:rFonts w:hint="eastAsia" w:ascii="宋体" w:cs="宋体"/>
                <w:b/>
                <w:bCs/>
                <w:kern w:val="0"/>
                <w:szCs w:val="21"/>
                <w:highlight w:val="none"/>
                <w:lang w:val="zh-CN"/>
              </w:rPr>
              <w:t>（注：</w:t>
            </w:r>
            <w:r>
              <w:rPr>
                <w:rFonts w:hint="eastAsia" w:ascii="宋体" w:cs="宋体"/>
                <w:kern w:val="0"/>
                <w:szCs w:val="21"/>
                <w:highlight w:val="none"/>
                <w:lang w:val="zh-CN"/>
              </w:rPr>
              <w:t>不在本章节体现的证明资料，须注明其证明材料在响应文件中所在章节位置，例如资格审查指标中“</w:t>
            </w:r>
            <w:r>
              <w:rPr>
                <w:rFonts w:hint="eastAsia" w:ascii="宋体" w:hAnsi="宋体" w:cs="Arial"/>
                <w:color w:val="000000"/>
                <w:szCs w:val="21"/>
                <w:highlight w:val="none"/>
              </w:rPr>
              <w:t>供应商声明函</w:t>
            </w:r>
            <w:r>
              <w:rPr>
                <w:rFonts w:hint="eastAsia" w:ascii="宋体" w:cs="宋体"/>
                <w:kern w:val="0"/>
                <w:szCs w:val="21"/>
                <w:highlight w:val="none"/>
                <w:lang w:val="zh-CN"/>
              </w:rPr>
              <w:t>”，供应商应注明详见响应文件第十章</w:t>
            </w:r>
            <w:r>
              <w:rPr>
                <w:rFonts w:hint="eastAsia" w:ascii="宋体" w:cs="宋体"/>
                <w:kern w:val="0"/>
                <w:szCs w:val="21"/>
                <w:highlight w:val="none"/>
              </w:rPr>
              <w:t>-</w:t>
            </w:r>
            <w:r>
              <w:rPr>
                <w:rFonts w:hint="eastAsia" w:ascii="宋体" w:hAnsi="宋体" w:cs="Arial"/>
                <w:color w:val="000000"/>
                <w:szCs w:val="21"/>
                <w:highlight w:val="none"/>
              </w:rPr>
              <w:t>供应商声明函，无需在本章节中重复提供</w:t>
            </w:r>
            <w:r>
              <w:rPr>
                <w:rFonts w:hint="eastAsia" w:ascii="宋体" w:cs="宋体"/>
                <w:b/>
                <w:bCs/>
                <w:kern w:val="0"/>
                <w:szCs w:val="21"/>
                <w:highlight w:val="none"/>
                <w:lang w:val="zh-CN"/>
              </w:rPr>
              <w:t>）</w:t>
            </w:r>
          </w:p>
        </w:tc>
      </w:tr>
      <w:tr w14:paraId="7AC79CAE">
        <w:tblPrEx>
          <w:tblCellMar>
            <w:top w:w="0" w:type="dxa"/>
            <w:left w:w="108" w:type="dxa"/>
            <w:bottom w:w="0" w:type="dxa"/>
            <w:right w:w="108" w:type="dxa"/>
          </w:tblCellMar>
        </w:tblPrEx>
        <w:trPr>
          <w:trHeight w:val="600" w:hRule="atLeast"/>
        </w:trPr>
        <w:tc>
          <w:tcPr>
            <w:tcW w:w="95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49A7D3F">
            <w:pPr>
              <w:autoSpaceDE w:val="0"/>
              <w:autoSpaceDN w:val="0"/>
              <w:adjustRightInd w:val="0"/>
              <w:jc w:val="center"/>
              <w:rPr>
                <w:rFonts w:ascii="宋体" w:cs="宋体"/>
                <w:kern w:val="0"/>
                <w:sz w:val="22"/>
                <w:szCs w:val="22"/>
                <w:highlight w:val="none"/>
                <w:lang w:val="zh-CN"/>
              </w:rPr>
            </w:pPr>
            <w:r>
              <w:rPr>
                <w:rFonts w:hint="eastAsia" w:ascii="宋体" w:cs="宋体"/>
                <w:kern w:val="0"/>
                <w:sz w:val="24"/>
                <w:szCs w:val="24"/>
                <w:highlight w:val="none"/>
                <w:lang w:val="zh-CN"/>
              </w:rPr>
              <w:t>一</w:t>
            </w:r>
          </w:p>
        </w:tc>
        <w:tc>
          <w:tcPr>
            <w:tcW w:w="2186" w:type="dxa"/>
            <w:tcBorders>
              <w:top w:val="single" w:color="000000" w:sz="2" w:space="0"/>
              <w:left w:val="nil"/>
              <w:bottom w:val="single" w:color="000000" w:sz="2" w:space="0"/>
              <w:right w:val="single" w:color="000000" w:sz="2" w:space="0"/>
            </w:tcBorders>
            <w:shd w:val="clear" w:color="000000" w:fill="FFFFFF"/>
            <w:vAlign w:val="center"/>
          </w:tcPr>
          <w:p w14:paraId="05C389C5">
            <w:pPr>
              <w:autoSpaceDE w:val="0"/>
              <w:autoSpaceDN w:val="0"/>
              <w:adjustRightInd w:val="0"/>
              <w:jc w:val="left"/>
              <w:rPr>
                <w:rFonts w:ascii="宋体" w:cs="宋体"/>
                <w:kern w:val="0"/>
                <w:sz w:val="22"/>
                <w:szCs w:val="22"/>
                <w:highlight w:val="none"/>
                <w:lang w:val="zh-CN"/>
              </w:rPr>
            </w:pPr>
            <w:r>
              <w:rPr>
                <w:rFonts w:hint="eastAsia" w:ascii="宋体" w:cs="宋体"/>
                <w:kern w:val="0"/>
                <w:sz w:val="24"/>
                <w:szCs w:val="24"/>
                <w:highlight w:val="none"/>
                <w:lang w:val="zh-CN"/>
              </w:rPr>
              <w:t>审查指标</w:t>
            </w:r>
          </w:p>
        </w:tc>
        <w:tc>
          <w:tcPr>
            <w:tcW w:w="2087" w:type="dxa"/>
            <w:tcBorders>
              <w:top w:val="single" w:color="000000" w:sz="2" w:space="0"/>
              <w:left w:val="nil"/>
              <w:bottom w:val="single" w:color="000000" w:sz="2" w:space="0"/>
              <w:right w:val="single" w:color="000000" w:sz="2" w:space="0"/>
            </w:tcBorders>
            <w:shd w:val="clear" w:color="000000" w:fill="FFFFFF"/>
            <w:vAlign w:val="center"/>
          </w:tcPr>
          <w:p w14:paraId="398900AA">
            <w:pPr>
              <w:autoSpaceDE w:val="0"/>
              <w:autoSpaceDN w:val="0"/>
              <w:adjustRightInd w:val="0"/>
              <w:jc w:val="center"/>
              <w:rPr>
                <w:rFonts w:ascii="宋体" w:cs="宋体"/>
                <w:b/>
                <w:bCs/>
                <w:kern w:val="0"/>
                <w:sz w:val="24"/>
                <w:szCs w:val="24"/>
                <w:highlight w:val="none"/>
                <w:lang w:val="zh-CN"/>
              </w:rPr>
            </w:pPr>
          </w:p>
        </w:tc>
        <w:tc>
          <w:tcPr>
            <w:tcW w:w="2988" w:type="dxa"/>
            <w:tcBorders>
              <w:top w:val="single" w:color="000000" w:sz="2" w:space="0"/>
              <w:left w:val="nil"/>
              <w:bottom w:val="single" w:color="000000" w:sz="2" w:space="0"/>
              <w:right w:val="single" w:color="000000" w:sz="2" w:space="0"/>
            </w:tcBorders>
            <w:shd w:val="clear" w:color="000000" w:fill="FFFFFF"/>
            <w:vAlign w:val="center"/>
          </w:tcPr>
          <w:p w14:paraId="57EB5924">
            <w:pPr>
              <w:autoSpaceDE w:val="0"/>
              <w:autoSpaceDN w:val="0"/>
              <w:adjustRightInd w:val="0"/>
              <w:jc w:val="center"/>
              <w:rPr>
                <w:rFonts w:ascii="宋体" w:cs="宋体"/>
                <w:b/>
                <w:bCs/>
                <w:kern w:val="0"/>
                <w:sz w:val="24"/>
                <w:szCs w:val="24"/>
                <w:highlight w:val="none"/>
                <w:lang w:val="zh-CN"/>
              </w:rPr>
            </w:pPr>
          </w:p>
        </w:tc>
      </w:tr>
      <w:tr w14:paraId="67891D8F">
        <w:tblPrEx>
          <w:tblCellMar>
            <w:top w:w="0" w:type="dxa"/>
            <w:left w:w="108" w:type="dxa"/>
            <w:bottom w:w="0" w:type="dxa"/>
            <w:right w:w="108" w:type="dxa"/>
          </w:tblCellMar>
        </w:tblPrEx>
        <w:trPr>
          <w:trHeight w:val="600" w:hRule="atLeast"/>
        </w:trPr>
        <w:tc>
          <w:tcPr>
            <w:tcW w:w="95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6D2C0E9">
            <w:pPr>
              <w:autoSpaceDE w:val="0"/>
              <w:autoSpaceDN w:val="0"/>
              <w:adjustRightInd w:val="0"/>
              <w:jc w:val="center"/>
              <w:rPr>
                <w:rFonts w:ascii="宋体" w:cs="宋体"/>
                <w:kern w:val="0"/>
                <w:sz w:val="24"/>
                <w:szCs w:val="24"/>
                <w:highlight w:val="none"/>
                <w:lang w:val="zh-CN"/>
              </w:rPr>
            </w:pPr>
            <w:r>
              <w:rPr>
                <w:rFonts w:ascii="宋体" w:cs="宋体"/>
                <w:kern w:val="0"/>
                <w:sz w:val="24"/>
                <w:szCs w:val="24"/>
                <w:highlight w:val="none"/>
                <w:lang w:val="zh-CN"/>
              </w:rPr>
              <w:t>1</w:t>
            </w:r>
          </w:p>
        </w:tc>
        <w:tc>
          <w:tcPr>
            <w:tcW w:w="2186" w:type="dxa"/>
            <w:tcBorders>
              <w:top w:val="single" w:color="000000" w:sz="2" w:space="0"/>
              <w:left w:val="nil"/>
              <w:bottom w:val="single" w:color="000000" w:sz="2" w:space="0"/>
              <w:right w:val="single" w:color="000000" w:sz="2" w:space="0"/>
            </w:tcBorders>
            <w:shd w:val="clear" w:color="000000" w:fill="FFFFFF"/>
            <w:vAlign w:val="center"/>
          </w:tcPr>
          <w:p w14:paraId="6E3F94AA">
            <w:pPr>
              <w:autoSpaceDE w:val="0"/>
              <w:autoSpaceDN w:val="0"/>
              <w:adjustRightInd w:val="0"/>
              <w:jc w:val="left"/>
              <w:rPr>
                <w:rFonts w:ascii="宋体" w:cs="宋体"/>
                <w:kern w:val="0"/>
                <w:sz w:val="24"/>
                <w:szCs w:val="24"/>
                <w:highlight w:val="none"/>
              </w:rPr>
            </w:pPr>
            <w:r>
              <w:rPr>
                <w:rFonts w:hint="eastAsia" w:ascii="宋体" w:cs="宋体"/>
                <w:kern w:val="0"/>
                <w:sz w:val="24"/>
                <w:szCs w:val="24"/>
                <w:highlight w:val="none"/>
              </w:rPr>
              <w:t>项目营销团队</w:t>
            </w:r>
          </w:p>
        </w:tc>
        <w:tc>
          <w:tcPr>
            <w:tcW w:w="2087" w:type="dxa"/>
            <w:tcBorders>
              <w:top w:val="single" w:color="000000" w:sz="2" w:space="0"/>
              <w:left w:val="nil"/>
              <w:bottom w:val="single" w:color="000000" w:sz="2" w:space="0"/>
              <w:right w:val="single" w:color="000000" w:sz="2" w:space="0"/>
            </w:tcBorders>
            <w:shd w:val="clear" w:color="000000" w:fill="FFFFFF"/>
            <w:vAlign w:val="center"/>
          </w:tcPr>
          <w:p w14:paraId="18373EC9">
            <w:pPr>
              <w:autoSpaceDE w:val="0"/>
              <w:autoSpaceDN w:val="0"/>
              <w:adjustRightInd w:val="0"/>
              <w:jc w:val="center"/>
              <w:rPr>
                <w:rFonts w:ascii="宋体" w:cs="宋体"/>
                <w:b/>
                <w:bCs/>
                <w:kern w:val="0"/>
                <w:sz w:val="24"/>
                <w:szCs w:val="24"/>
                <w:highlight w:val="none"/>
                <w:lang w:val="zh-CN"/>
              </w:rPr>
            </w:pPr>
          </w:p>
        </w:tc>
        <w:tc>
          <w:tcPr>
            <w:tcW w:w="2988" w:type="dxa"/>
            <w:tcBorders>
              <w:top w:val="single" w:color="000000" w:sz="2" w:space="0"/>
              <w:left w:val="nil"/>
              <w:bottom w:val="single" w:color="000000" w:sz="2" w:space="0"/>
              <w:right w:val="single" w:color="000000" w:sz="2" w:space="0"/>
            </w:tcBorders>
            <w:shd w:val="clear" w:color="000000" w:fill="FFFFFF"/>
            <w:vAlign w:val="center"/>
          </w:tcPr>
          <w:p w14:paraId="1A7076C5">
            <w:pPr>
              <w:autoSpaceDE w:val="0"/>
              <w:autoSpaceDN w:val="0"/>
              <w:adjustRightInd w:val="0"/>
              <w:jc w:val="center"/>
              <w:rPr>
                <w:rFonts w:ascii="宋体" w:cs="宋体"/>
                <w:b/>
                <w:bCs/>
                <w:kern w:val="0"/>
                <w:sz w:val="24"/>
                <w:szCs w:val="24"/>
                <w:highlight w:val="none"/>
                <w:lang w:val="zh-CN"/>
              </w:rPr>
            </w:pPr>
          </w:p>
        </w:tc>
      </w:tr>
      <w:tr w14:paraId="736D1B0C">
        <w:tblPrEx>
          <w:tblCellMar>
            <w:top w:w="0" w:type="dxa"/>
            <w:left w:w="108" w:type="dxa"/>
            <w:bottom w:w="0" w:type="dxa"/>
            <w:right w:w="108" w:type="dxa"/>
          </w:tblCellMar>
        </w:tblPrEx>
        <w:trPr>
          <w:trHeight w:val="600" w:hRule="atLeast"/>
        </w:trPr>
        <w:tc>
          <w:tcPr>
            <w:tcW w:w="95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23FE76B">
            <w:pPr>
              <w:autoSpaceDE w:val="0"/>
              <w:autoSpaceDN w:val="0"/>
              <w:adjustRightInd w:val="0"/>
              <w:jc w:val="center"/>
              <w:rPr>
                <w:rFonts w:ascii="宋体" w:cs="宋体"/>
                <w:kern w:val="0"/>
                <w:sz w:val="24"/>
                <w:szCs w:val="24"/>
                <w:highlight w:val="none"/>
                <w:lang w:val="zh-CN"/>
              </w:rPr>
            </w:pPr>
            <w:r>
              <w:rPr>
                <w:rFonts w:hint="eastAsia" w:ascii="宋体" w:cs="宋体"/>
                <w:kern w:val="0"/>
                <w:sz w:val="24"/>
                <w:szCs w:val="24"/>
                <w:highlight w:val="none"/>
                <w:lang w:val="zh-CN"/>
              </w:rPr>
              <w:t>2</w:t>
            </w:r>
          </w:p>
        </w:tc>
        <w:tc>
          <w:tcPr>
            <w:tcW w:w="2186" w:type="dxa"/>
            <w:tcBorders>
              <w:top w:val="single" w:color="000000" w:sz="2" w:space="0"/>
              <w:left w:val="nil"/>
              <w:bottom w:val="single" w:color="000000" w:sz="2" w:space="0"/>
              <w:right w:val="single" w:color="000000" w:sz="2" w:space="0"/>
            </w:tcBorders>
            <w:shd w:val="clear" w:color="000000" w:fill="FFFFFF"/>
            <w:vAlign w:val="center"/>
          </w:tcPr>
          <w:p w14:paraId="389DC000">
            <w:pPr>
              <w:autoSpaceDE w:val="0"/>
              <w:autoSpaceDN w:val="0"/>
              <w:adjustRightInd w:val="0"/>
              <w:jc w:val="left"/>
              <w:rPr>
                <w:rFonts w:ascii="宋体" w:cs="宋体"/>
                <w:kern w:val="0"/>
                <w:sz w:val="24"/>
                <w:szCs w:val="24"/>
                <w:highlight w:val="none"/>
              </w:rPr>
            </w:pPr>
            <w:r>
              <w:rPr>
                <w:rFonts w:hint="eastAsia" w:ascii="宋体" w:cs="宋体"/>
                <w:kern w:val="0"/>
                <w:sz w:val="24"/>
                <w:szCs w:val="24"/>
                <w:highlight w:val="none"/>
              </w:rPr>
              <w:t>......</w:t>
            </w:r>
          </w:p>
        </w:tc>
        <w:tc>
          <w:tcPr>
            <w:tcW w:w="2087" w:type="dxa"/>
            <w:tcBorders>
              <w:top w:val="single" w:color="000000" w:sz="2" w:space="0"/>
              <w:left w:val="nil"/>
              <w:bottom w:val="single" w:color="000000" w:sz="2" w:space="0"/>
              <w:right w:val="single" w:color="000000" w:sz="2" w:space="0"/>
            </w:tcBorders>
            <w:shd w:val="clear" w:color="000000" w:fill="FFFFFF"/>
            <w:vAlign w:val="center"/>
          </w:tcPr>
          <w:p w14:paraId="16DB8875">
            <w:pPr>
              <w:autoSpaceDE w:val="0"/>
              <w:autoSpaceDN w:val="0"/>
              <w:adjustRightInd w:val="0"/>
              <w:jc w:val="center"/>
              <w:rPr>
                <w:rFonts w:ascii="宋体" w:cs="宋体"/>
                <w:b/>
                <w:bCs/>
                <w:kern w:val="0"/>
                <w:sz w:val="24"/>
                <w:szCs w:val="24"/>
                <w:highlight w:val="none"/>
                <w:lang w:val="zh-CN"/>
              </w:rPr>
            </w:pPr>
          </w:p>
        </w:tc>
        <w:tc>
          <w:tcPr>
            <w:tcW w:w="2988" w:type="dxa"/>
            <w:tcBorders>
              <w:top w:val="single" w:color="000000" w:sz="2" w:space="0"/>
              <w:left w:val="nil"/>
              <w:bottom w:val="single" w:color="000000" w:sz="2" w:space="0"/>
              <w:right w:val="single" w:color="000000" w:sz="2" w:space="0"/>
            </w:tcBorders>
            <w:shd w:val="clear" w:color="000000" w:fill="FFFFFF"/>
            <w:vAlign w:val="center"/>
          </w:tcPr>
          <w:p w14:paraId="7F0EBCC7">
            <w:pPr>
              <w:autoSpaceDE w:val="0"/>
              <w:autoSpaceDN w:val="0"/>
              <w:adjustRightInd w:val="0"/>
              <w:jc w:val="center"/>
              <w:rPr>
                <w:rFonts w:ascii="宋体" w:cs="宋体"/>
                <w:b/>
                <w:bCs/>
                <w:kern w:val="0"/>
                <w:sz w:val="24"/>
                <w:szCs w:val="24"/>
                <w:highlight w:val="none"/>
                <w:lang w:val="zh-CN"/>
              </w:rPr>
            </w:pPr>
          </w:p>
        </w:tc>
      </w:tr>
      <w:tr w14:paraId="5CA59674">
        <w:tblPrEx>
          <w:tblCellMar>
            <w:top w:w="0" w:type="dxa"/>
            <w:left w:w="108" w:type="dxa"/>
            <w:bottom w:w="0" w:type="dxa"/>
            <w:right w:w="108" w:type="dxa"/>
          </w:tblCellMar>
        </w:tblPrEx>
        <w:trPr>
          <w:trHeight w:val="600" w:hRule="atLeast"/>
        </w:trPr>
        <w:tc>
          <w:tcPr>
            <w:tcW w:w="956" w:type="dxa"/>
            <w:tcBorders>
              <w:top w:val="nil"/>
              <w:left w:val="single" w:color="000000" w:sz="2" w:space="0"/>
              <w:bottom w:val="single" w:color="000000" w:sz="2" w:space="0"/>
              <w:right w:val="single" w:color="000000" w:sz="2" w:space="0"/>
            </w:tcBorders>
            <w:shd w:val="clear" w:color="000000" w:fill="FFFFFF"/>
            <w:vAlign w:val="center"/>
          </w:tcPr>
          <w:p w14:paraId="3BB385D5">
            <w:pPr>
              <w:autoSpaceDE w:val="0"/>
              <w:autoSpaceDN w:val="0"/>
              <w:adjustRightInd w:val="0"/>
              <w:jc w:val="center"/>
              <w:rPr>
                <w:rFonts w:ascii="宋体" w:cs="宋体"/>
                <w:kern w:val="0"/>
                <w:sz w:val="22"/>
                <w:szCs w:val="22"/>
                <w:highlight w:val="none"/>
                <w:lang w:val="zh-CN"/>
              </w:rPr>
            </w:pPr>
            <w:r>
              <w:rPr>
                <w:rFonts w:hint="eastAsia" w:ascii="宋体" w:cs="宋体"/>
                <w:kern w:val="0"/>
                <w:sz w:val="24"/>
                <w:szCs w:val="24"/>
                <w:highlight w:val="none"/>
              </w:rPr>
              <w:t>3</w:t>
            </w:r>
          </w:p>
        </w:tc>
        <w:tc>
          <w:tcPr>
            <w:tcW w:w="2186" w:type="dxa"/>
            <w:tcBorders>
              <w:top w:val="nil"/>
              <w:left w:val="nil"/>
              <w:bottom w:val="single" w:color="000000" w:sz="2" w:space="0"/>
              <w:right w:val="single" w:color="000000" w:sz="2" w:space="0"/>
            </w:tcBorders>
            <w:shd w:val="clear" w:color="000000" w:fill="FFFFFF"/>
            <w:vAlign w:val="center"/>
          </w:tcPr>
          <w:p w14:paraId="71221A90">
            <w:pPr>
              <w:autoSpaceDE w:val="0"/>
              <w:autoSpaceDN w:val="0"/>
              <w:adjustRightInd w:val="0"/>
              <w:jc w:val="left"/>
              <w:rPr>
                <w:rFonts w:ascii="宋体" w:cs="宋体"/>
                <w:kern w:val="0"/>
                <w:sz w:val="24"/>
                <w:szCs w:val="24"/>
                <w:highlight w:val="none"/>
                <w:lang w:val="zh-CN"/>
              </w:rPr>
            </w:pPr>
            <w:r>
              <w:rPr>
                <w:rFonts w:hint="eastAsia" w:ascii="宋体" w:cs="宋体"/>
                <w:kern w:val="0"/>
                <w:sz w:val="24"/>
                <w:szCs w:val="24"/>
                <w:highlight w:val="none"/>
              </w:rPr>
              <w:t>......</w:t>
            </w:r>
          </w:p>
        </w:tc>
        <w:tc>
          <w:tcPr>
            <w:tcW w:w="2087" w:type="dxa"/>
            <w:tcBorders>
              <w:top w:val="nil"/>
              <w:left w:val="nil"/>
              <w:bottom w:val="single" w:color="000000" w:sz="2" w:space="0"/>
              <w:right w:val="single" w:color="000000" w:sz="2" w:space="0"/>
            </w:tcBorders>
            <w:shd w:val="clear" w:color="000000" w:fill="FFFFFF"/>
            <w:vAlign w:val="center"/>
          </w:tcPr>
          <w:p w14:paraId="4461EC84">
            <w:pPr>
              <w:autoSpaceDE w:val="0"/>
              <w:autoSpaceDN w:val="0"/>
              <w:adjustRightInd w:val="0"/>
              <w:jc w:val="center"/>
              <w:rPr>
                <w:rFonts w:ascii="宋体" w:cs="宋体"/>
                <w:kern w:val="0"/>
                <w:sz w:val="22"/>
                <w:szCs w:val="22"/>
                <w:highlight w:val="none"/>
                <w:lang w:val="zh-CN"/>
              </w:rPr>
            </w:pPr>
            <w:r>
              <w:rPr>
                <w:rFonts w:hint="eastAsia" w:ascii="宋体" w:cs="宋体"/>
                <w:kern w:val="0"/>
                <w:sz w:val="24"/>
                <w:szCs w:val="24"/>
                <w:highlight w:val="none"/>
                <w:lang w:val="zh-CN"/>
              </w:rPr>
              <w:t>　</w:t>
            </w:r>
          </w:p>
        </w:tc>
        <w:tc>
          <w:tcPr>
            <w:tcW w:w="2988" w:type="dxa"/>
            <w:tcBorders>
              <w:top w:val="nil"/>
              <w:left w:val="nil"/>
              <w:bottom w:val="single" w:color="000000" w:sz="2" w:space="0"/>
              <w:right w:val="single" w:color="000000" w:sz="2" w:space="0"/>
            </w:tcBorders>
            <w:shd w:val="clear" w:color="000000" w:fill="FFFFFF"/>
            <w:vAlign w:val="center"/>
          </w:tcPr>
          <w:p w14:paraId="7BBB547F">
            <w:pPr>
              <w:autoSpaceDE w:val="0"/>
              <w:autoSpaceDN w:val="0"/>
              <w:adjustRightInd w:val="0"/>
              <w:jc w:val="center"/>
              <w:rPr>
                <w:rFonts w:ascii="宋体" w:cs="宋体"/>
                <w:kern w:val="0"/>
                <w:sz w:val="22"/>
                <w:szCs w:val="22"/>
                <w:highlight w:val="none"/>
                <w:lang w:val="zh-CN"/>
              </w:rPr>
            </w:pPr>
            <w:r>
              <w:rPr>
                <w:rFonts w:hint="eastAsia" w:ascii="宋体" w:cs="宋体"/>
                <w:kern w:val="0"/>
                <w:sz w:val="24"/>
                <w:szCs w:val="24"/>
                <w:highlight w:val="none"/>
                <w:lang w:val="zh-CN"/>
              </w:rPr>
              <w:t>　</w:t>
            </w:r>
          </w:p>
        </w:tc>
      </w:tr>
      <w:tr w14:paraId="6AFFBCA7">
        <w:tblPrEx>
          <w:tblCellMar>
            <w:top w:w="0" w:type="dxa"/>
            <w:left w:w="108" w:type="dxa"/>
            <w:bottom w:w="0" w:type="dxa"/>
            <w:right w:w="108" w:type="dxa"/>
          </w:tblCellMar>
        </w:tblPrEx>
        <w:trPr>
          <w:trHeight w:val="600" w:hRule="atLeast"/>
        </w:trPr>
        <w:tc>
          <w:tcPr>
            <w:tcW w:w="956" w:type="dxa"/>
            <w:tcBorders>
              <w:top w:val="nil"/>
              <w:left w:val="single" w:color="000000" w:sz="2" w:space="0"/>
              <w:bottom w:val="single" w:color="000000" w:sz="2" w:space="0"/>
              <w:right w:val="single" w:color="000000" w:sz="2" w:space="0"/>
            </w:tcBorders>
            <w:shd w:val="clear" w:color="000000" w:fill="FFFFFF"/>
            <w:vAlign w:val="center"/>
          </w:tcPr>
          <w:p w14:paraId="5789C5F8">
            <w:pPr>
              <w:autoSpaceDE w:val="0"/>
              <w:autoSpaceDN w:val="0"/>
              <w:adjustRightInd w:val="0"/>
              <w:jc w:val="center"/>
              <w:rPr>
                <w:rFonts w:ascii="宋体" w:cs="宋体"/>
                <w:kern w:val="0"/>
                <w:sz w:val="22"/>
                <w:szCs w:val="22"/>
                <w:highlight w:val="none"/>
                <w:lang w:val="zh-CN"/>
              </w:rPr>
            </w:pPr>
            <w:r>
              <w:rPr>
                <w:rFonts w:hint="eastAsia" w:ascii="宋体" w:cs="宋体"/>
                <w:kern w:val="0"/>
                <w:sz w:val="24"/>
                <w:szCs w:val="24"/>
                <w:highlight w:val="none"/>
              </w:rPr>
              <w:t>4</w:t>
            </w:r>
          </w:p>
        </w:tc>
        <w:tc>
          <w:tcPr>
            <w:tcW w:w="2186" w:type="dxa"/>
            <w:tcBorders>
              <w:top w:val="nil"/>
              <w:left w:val="nil"/>
              <w:bottom w:val="single" w:color="000000" w:sz="2" w:space="0"/>
              <w:right w:val="single" w:color="000000" w:sz="2" w:space="0"/>
            </w:tcBorders>
            <w:shd w:val="clear" w:color="000000" w:fill="FFFFFF"/>
            <w:vAlign w:val="center"/>
          </w:tcPr>
          <w:p w14:paraId="5B7C8F29">
            <w:pPr>
              <w:autoSpaceDE w:val="0"/>
              <w:autoSpaceDN w:val="0"/>
              <w:adjustRightInd w:val="0"/>
              <w:jc w:val="left"/>
              <w:rPr>
                <w:rFonts w:ascii="宋体" w:cs="宋体"/>
                <w:kern w:val="0"/>
                <w:sz w:val="24"/>
                <w:szCs w:val="24"/>
                <w:highlight w:val="none"/>
                <w:lang w:val="zh-CN"/>
              </w:rPr>
            </w:pPr>
            <w:r>
              <w:rPr>
                <w:rFonts w:hint="eastAsia" w:ascii="宋体" w:cs="宋体"/>
                <w:kern w:val="0"/>
                <w:sz w:val="24"/>
                <w:szCs w:val="24"/>
                <w:highlight w:val="none"/>
              </w:rPr>
              <w:t>......</w:t>
            </w:r>
          </w:p>
        </w:tc>
        <w:tc>
          <w:tcPr>
            <w:tcW w:w="2087" w:type="dxa"/>
            <w:tcBorders>
              <w:top w:val="nil"/>
              <w:left w:val="nil"/>
              <w:bottom w:val="single" w:color="000000" w:sz="2" w:space="0"/>
              <w:right w:val="single" w:color="000000" w:sz="2" w:space="0"/>
            </w:tcBorders>
            <w:shd w:val="clear" w:color="000000" w:fill="FFFFFF"/>
            <w:vAlign w:val="center"/>
          </w:tcPr>
          <w:p w14:paraId="548D1074">
            <w:pPr>
              <w:autoSpaceDE w:val="0"/>
              <w:autoSpaceDN w:val="0"/>
              <w:adjustRightInd w:val="0"/>
              <w:jc w:val="center"/>
              <w:rPr>
                <w:rFonts w:ascii="宋体" w:cs="宋体"/>
                <w:kern w:val="0"/>
                <w:sz w:val="22"/>
                <w:szCs w:val="22"/>
                <w:highlight w:val="none"/>
                <w:lang w:val="zh-CN"/>
              </w:rPr>
            </w:pPr>
            <w:r>
              <w:rPr>
                <w:rFonts w:hint="eastAsia" w:ascii="宋体" w:cs="宋体"/>
                <w:kern w:val="0"/>
                <w:sz w:val="24"/>
                <w:szCs w:val="24"/>
                <w:highlight w:val="none"/>
                <w:lang w:val="zh-CN"/>
              </w:rPr>
              <w:t>　</w:t>
            </w:r>
          </w:p>
        </w:tc>
        <w:tc>
          <w:tcPr>
            <w:tcW w:w="2988" w:type="dxa"/>
            <w:tcBorders>
              <w:top w:val="nil"/>
              <w:left w:val="nil"/>
              <w:bottom w:val="single" w:color="000000" w:sz="2" w:space="0"/>
              <w:right w:val="single" w:color="000000" w:sz="2" w:space="0"/>
            </w:tcBorders>
            <w:shd w:val="clear" w:color="000000" w:fill="FFFFFF"/>
            <w:vAlign w:val="center"/>
          </w:tcPr>
          <w:p w14:paraId="42BD15F2">
            <w:pPr>
              <w:autoSpaceDE w:val="0"/>
              <w:autoSpaceDN w:val="0"/>
              <w:adjustRightInd w:val="0"/>
              <w:jc w:val="center"/>
              <w:rPr>
                <w:rFonts w:ascii="宋体" w:cs="宋体"/>
                <w:kern w:val="0"/>
                <w:sz w:val="22"/>
                <w:szCs w:val="22"/>
                <w:highlight w:val="none"/>
                <w:lang w:val="zh-CN"/>
              </w:rPr>
            </w:pPr>
            <w:r>
              <w:rPr>
                <w:rFonts w:hint="eastAsia" w:ascii="宋体" w:cs="宋体"/>
                <w:kern w:val="0"/>
                <w:sz w:val="24"/>
                <w:szCs w:val="24"/>
                <w:highlight w:val="none"/>
                <w:lang w:val="zh-CN"/>
              </w:rPr>
              <w:t>　</w:t>
            </w:r>
          </w:p>
        </w:tc>
      </w:tr>
      <w:tr w14:paraId="6E130298">
        <w:tblPrEx>
          <w:tblCellMar>
            <w:top w:w="0" w:type="dxa"/>
            <w:left w:w="108" w:type="dxa"/>
            <w:bottom w:w="0" w:type="dxa"/>
            <w:right w:w="108" w:type="dxa"/>
          </w:tblCellMar>
        </w:tblPrEx>
        <w:trPr>
          <w:trHeight w:val="600" w:hRule="atLeast"/>
        </w:trPr>
        <w:tc>
          <w:tcPr>
            <w:tcW w:w="956" w:type="dxa"/>
            <w:tcBorders>
              <w:top w:val="nil"/>
              <w:left w:val="single" w:color="000000" w:sz="2" w:space="0"/>
              <w:bottom w:val="single" w:color="000000" w:sz="2" w:space="0"/>
              <w:right w:val="single" w:color="000000" w:sz="2" w:space="0"/>
            </w:tcBorders>
            <w:shd w:val="clear" w:color="000000" w:fill="FFFFFF"/>
            <w:vAlign w:val="center"/>
          </w:tcPr>
          <w:p w14:paraId="6FF54767">
            <w:pPr>
              <w:autoSpaceDE w:val="0"/>
              <w:autoSpaceDN w:val="0"/>
              <w:adjustRightInd w:val="0"/>
              <w:jc w:val="center"/>
              <w:rPr>
                <w:rFonts w:ascii="宋体" w:cs="宋体"/>
                <w:kern w:val="0"/>
                <w:sz w:val="22"/>
                <w:szCs w:val="22"/>
                <w:highlight w:val="none"/>
                <w:lang w:val="zh-CN"/>
              </w:rPr>
            </w:pPr>
            <w:r>
              <w:rPr>
                <w:rFonts w:hint="eastAsia" w:ascii="宋体" w:cs="宋体"/>
                <w:kern w:val="0"/>
                <w:sz w:val="24"/>
                <w:szCs w:val="24"/>
                <w:highlight w:val="none"/>
              </w:rPr>
              <w:t>5</w:t>
            </w:r>
          </w:p>
        </w:tc>
        <w:tc>
          <w:tcPr>
            <w:tcW w:w="2186" w:type="dxa"/>
            <w:tcBorders>
              <w:top w:val="nil"/>
              <w:left w:val="nil"/>
              <w:bottom w:val="single" w:color="000000" w:sz="2" w:space="0"/>
              <w:right w:val="single" w:color="000000" w:sz="2" w:space="0"/>
            </w:tcBorders>
            <w:shd w:val="clear" w:color="000000" w:fill="FFFFFF"/>
            <w:vAlign w:val="center"/>
          </w:tcPr>
          <w:p w14:paraId="2FC13A9F">
            <w:pPr>
              <w:autoSpaceDE w:val="0"/>
              <w:autoSpaceDN w:val="0"/>
              <w:adjustRightInd w:val="0"/>
              <w:jc w:val="left"/>
              <w:rPr>
                <w:rFonts w:ascii="宋体" w:cs="宋体"/>
                <w:kern w:val="0"/>
                <w:sz w:val="24"/>
                <w:szCs w:val="24"/>
                <w:highlight w:val="none"/>
                <w:lang w:val="zh-CN"/>
              </w:rPr>
            </w:pPr>
            <w:r>
              <w:rPr>
                <w:rFonts w:hint="eastAsia" w:ascii="宋体" w:cs="宋体"/>
                <w:kern w:val="0"/>
                <w:sz w:val="24"/>
                <w:szCs w:val="24"/>
                <w:highlight w:val="none"/>
              </w:rPr>
              <w:t>......</w:t>
            </w:r>
          </w:p>
        </w:tc>
        <w:tc>
          <w:tcPr>
            <w:tcW w:w="2087" w:type="dxa"/>
            <w:tcBorders>
              <w:top w:val="nil"/>
              <w:left w:val="nil"/>
              <w:bottom w:val="single" w:color="000000" w:sz="2" w:space="0"/>
              <w:right w:val="single" w:color="000000" w:sz="2" w:space="0"/>
            </w:tcBorders>
            <w:shd w:val="clear" w:color="000000" w:fill="FFFFFF"/>
            <w:vAlign w:val="center"/>
          </w:tcPr>
          <w:p w14:paraId="22F2B783">
            <w:pPr>
              <w:autoSpaceDE w:val="0"/>
              <w:autoSpaceDN w:val="0"/>
              <w:adjustRightInd w:val="0"/>
              <w:jc w:val="center"/>
              <w:rPr>
                <w:rFonts w:ascii="宋体" w:cs="宋体"/>
                <w:kern w:val="0"/>
                <w:sz w:val="22"/>
                <w:szCs w:val="22"/>
                <w:highlight w:val="none"/>
                <w:lang w:val="zh-CN"/>
              </w:rPr>
            </w:pPr>
            <w:r>
              <w:rPr>
                <w:rFonts w:hint="eastAsia" w:ascii="宋体" w:cs="宋体"/>
                <w:kern w:val="0"/>
                <w:sz w:val="24"/>
                <w:szCs w:val="24"/>
                <w:highlight w:val="none"/>
                <w:lang w:val="zh-CN"/>
              </w:rPr>
              <w:t>　</w:t>
            </w:r>
          </w:p>
        </w:tc>
        <w:tc>
          <w:tcPr>
            <w:tcW w:w="2988" w:type="dxa"/>
            <w:tcBorders>
              <w:top w:val="nil"/>
              <w:left w:val="nil"/>
              <w:bottom w:val="single" w:color="000000" w:sz="2" w:space="0"/>
              <w:right w:val="single" w:color="000000" w:sz="2" w:space="0"/>
            </w:tcBorders>
            <w:shd w:val="clear" w:color="000000" w:fill="FFFFFF"/>
            <w:vAlign w:val="center"/>
          </w:tcPr>
          <w:p w14:paraId="5476D695">
            <w:pPr>
              <w:autoSpaceDE w:val="0"/>
              <w:autoSpaceDN w:val="0"/>
              <w:adjustRightInd w:val="0"/>
              <w:jc w:val="center"/>
              <w:rPr>
                <w:rFonts w:ascii="宋体" w:cs="宋体"/>
                <w:kern w:val="0"/>
                <w:sz w:val="22"/>
                <w:szCs w:val="22"/>
                <w:highlight w:val="none"/>
                <w:lang w:val="zh-CN"/>
              </w:rPr>
            </w:pPr>
            <w:r>
              <w:rPr>
                <w:rFonts w:hint="eastAsia" w:ascii="宋体" w:cs="宋体"/>
                <w:kern w:val="0"/>
                <w:sz w:val="24"/>
                <w:szCs w:val="24"/>
                <w:highlight w:val="none"/>
                <w:lang w:val="zh-CN"/>
              </w:rPr>
              <w:t>　</w:t>
            </w:r>
          </w:p>
        </w:tc>
      </w:tr>
      <w:tr w14:paraId="6D5D7757">
        <w:tblPrEx>
          <w:tblCellMar>
            <w:top w:w="0" w:type="dxa"/>
            <w:left w:w="108" w:type="dxa"/>
            <w:bottom w:w="0" w:type="dxa"/>
            <w:right w:w="108" w:type="dxa"/>
          </w:tblCellMar>
        </w:tblPrEx>
        <w:trPr>
          <w:trHeight w:val="600" w:hRule="atLeast"/>
        </w:trPr>
        <w:tc>
          <w:tcPr>
            <w:tcW w:w="956" w:type="dxa"/>
            <w:tcBorders>
              <w:top w:val="nil"/>
              <w:left w:val="single" w:color="000000" w:sz="2" w:space="0"/>
              <w:bottom w:val="single" w:color="000000" w:sz="2" w:space="0"/>
              <w:right w:val="single" w:color="000000" w:sz="2" w:space="0"/>
            </w:tcBorders>
            <w:shd w:val="clear" w:color="000000" w:fill="FFFFFF"/>
            <w:vAlign w:val="center"/>
          </w:tcPr>
          <w:p w14:paraId="6A5773B5">
            <w:pPr>
              <w:autoSpaceDE w:val="0"/>
              <w:autoSpaceDN w:val="0"/>
              <w:adjustRightInd w:val="0"/>
              <w:jc w:val="center"/>
              <w:rPr>
                <w:rFonts w:ascii="宋体" w:cs="宋体"/>
                <w:kern w:val="0"/>
                <w:sz w:val="22"/>
                <w:szCs w:val="22"/>
                <w:highlight w:val="none"/>
                <w:lang w:val="zh-CN"/>
              </w:rPr>
            </w:pPr>
            <w:r>
              <w:rPr>
                <w:rFonts w:hint="eastAsia" w:ascii="宋体" w:cs="宋体"/>
                <w:kern w:val="0"/>
                <w:sz w:val="24"/>
                <w:szCs w:val="24"/>
                <w:highlight w:val="none"/>
                <w:lang w:val="zh-CN"/>
              </w:rPr>
              <w:t>……</w:t>
            </w:r>
          </w:p>
        </w:tc>
        <w:tc>
          <w:tcPr>
            <w:tcW w:w="2186" w:type="dxa"/>
            <w:tcBorders>
              <w:top w:val="nil"/>
              <w:left w:val="nil"/>
              <w:bottom w:val="single" w:color="000000" w:sz="2" w:space="0"/>
              <w:right w:val="single" w:color="000000" w:sz="2" w:space="0"/>
            </w:tcBorders>
            <w:shd w:val="clear" w:color="000000" w:fill="FFFFFF"/>
            <w:vAlign w:val="center"/>
          </w:tcPr>
          <w:p w14:paraId="37FED593">
            <w:pPr>
              <w:autoSpaceDE w:val="0"/>
              <w:autoSpaceDN w:val="0"/>
              <w:adjustRightInd w:val="0"/>
              <w:jc w:val="center"/>
              <w:rPr>
                <w:rFonts w:ascii="宋体" w:cs="宋体"/>
                <w:kern w:val="0"/>
                <w:sz w:val="22"/>
                <w:szCs w:val="22"/>
                <w:highlight w:val="none"/>
                <w:lang w:val="zh-CN"/>
              </w:rPr>
            </w:pPr>
            <w:r>
              <w:rPr>
                <w:rFonts w:hint="eastAsia" w:ascii="宋体" w:cs="宋体"/>
                <w:kern w:val="0"/>
                <w:sz w:val="24"/>
                <w:szCs w:val="24"/>
                <w:highlight w:val="none"/>
                <w:lang w:val="zh-CN"/>
              </w:rPr>
              <w:t>　</w:t>
            </w:r>
          </w:p>
        </w:tc>
        <w:tc>
          <w:tcPr>
            <w:tcW w:w="2087" w:type="dxa"/>
            <w:tcBorders>
              <w:top w:val="nil"/>
              <w:left w:val="nil"/>
              <w:bottom w:val="single" w:color="000000" w:sz="2" w:space="0"/>
              <w:right w:val="single" w:color="000000" w:sz="2" w:space="0"/>
            </w:tcBorders>
            <w:shd w:val="clear" w:color="000000" w:fill="FFFFFF"/>
            <w:vAlign w:val="center"/>
          </w:tcPr>
          <w:p w14:paraId="465434AE">
            <w:pPr>
              <w:autoSpaceDE w:val="0"/>
              <w:autoSpaceDN w:val="0"/>
              <w:adjustRightInd w:val="0"/>
              <w:jc w:val="center"/>
              <w:rPr>
                <w:rFonts w:ascii="宋体" w:cs="宋体"/>
                <w:kern w:val="0"/>
                <w:sz w:val="22"/>
                <w:szCs w:val="22"/>
                <w:highlight w:val="none"/>
                <w:lang w:val="zh-CN"/>
              </w:rPr>
            </w:pPr>
            <w:r>
              <w:rPr>
                <w:rFonts w:hint="eastAsia" w:ascii="宋体" w:cs="宋体"/>
                <w:kern w:val="0"/>
                <w:sz w:val="24"/>
                <w:szCs w:val="24"/>
                <w:highlight w:val="none"/>
                <w:lang w:val="zh-CN"/>
              </w:rPr>
              <w:t>　</w:t>
            </w:r>
          </w:p>
        </w:tc>
        <w:tc>
          <w:tcPr>
            <w:tcW w:w="2988" w:type="dxa"/>
            <w:tcBorders>
              <w:top w:val="nil"/>
              <w:left w:val="nil"/>
              <w:bottom w:val="single" w:color="000000" w:sz="2" w:space="0"/>
              <w:right w:val="single" w:color="000000" w:sz="2" w:space="0"/>
            </w:tcBorders>
            <w:shd w:val="clear" w:color="000000" w:fill="FFFFFF"/>
            <w:vAlign w:val="center"/>
          </w:tcPr>
          <w:p w14:paraId="2775CD9B">
            <w:pPr>
              <w:autoSpaceDE w:val="0"/>
              <w:autoSpaceDN w:val="0"/>
              <w:adjustRightInd w:val="0"/>
              <w:jc w:val="center"/>
              <w:rPr>
                <w:rFonts w:ascii="宋体" w:cs="宋体"/>
                <w:kern w:val="0"/>
                <w:sz w:val="22"/>
                <w:szCs w:val="22"/>
                <w:highlight w:val="none"/>
                <w:lang w:val="zh-CN"/>
              </w:rPr>
            </w:pPr>
            <w:r>
              <w:rPr>
                <w:rFonts w:hint="eastAsia" w:ascii="宋体" w:cs="宋体"/>
                <w:kern w:val="0"/>
                <w:sz w:val="24"/>
                <w:szCs w:val="24"/>
                <w:highlight w:val="none"/>
                <w:lang w:val="zh-CN"/>
              </w:rPr>
              <w:t>　</w:t>
            </w:r>
          </w:p>
        </w:tc>
      </w:tr>
    </w:tbl>
    <w:p w14:paraId="35B8421C">
      <w:pPr>
        <w:tabs>
          <w:tab w:val="left" w:pos="4620"/>
        </w:tabs>
        <w:spacing w:line="360" w:lineRule="auto"/>
        <w:ind w:right="-4" w:rightChars="-2"/>
        <w:rPr>
          <w:b/>
          <w:sz w:val="24"/>
          <w:szCs w:val="24"/>
          <w:highlight w:val="none"/>
        </w:rPr>
      </w:pPr>
    </w:p>
    <w:bookmarkEnd w:id="43"/>
    <w:bookmarkEnd w:id="44"/>
    <w:p w14:paraId="78CD0F99">
      <w:pPr>
        <w:autoSpaceDE w:val="0"/>
        <w:autoSpaceDN w:val="0"/>
        <w:adjustRightInd w:val="0"/>
        <w:jc w:val="center"/>
        <w:rPr>
          <w:rFonts w:ascii="仿宋" w:eastAsia="仿宋" w:cs="仿宋"/>
          <w:b/>
          <w:bCs/>
          <w:kern w:val="0"/>
          <w:sz w:val="44"/>
          <w:szCs w:val="44"/>
          <w:highlight w:val="none"/>
          <w:lang w:val="zh-CN"/>
        </w:rPr>
      </w:pPr>
      <w:r>
        <w:rPr>
          <w:rFonts w:hint="eastAsia" w:ascii="仿宋" w:eastAsia="仿宋" w:cs="仿宋"/>
          <w:b/>
          <w:bCs/>
          <w:kern w:val="0"/>
          <w:sz w:val="44"/>
          <w:szCs w:val="44"/>
          <w:highlight w:val="none"/>
          <w:lang w:val="zh-CN"/>
        </w:rPr>
        <w:br w:type="page"/>
      </w:r>
      <w:r>
        <w:rPr>
          <w:rFonts w:hint="eastAsia"/>
          <w:b/>
          <w:bCs/>
          <w:sz w:val="32"/>
          <w:szCs w:val="32"/>
          <w:highlight w:val="none"/>
          <w:lang w:val="zh-CN"/>
        </w:rPr>
        <w:t>八、质疑函范本</w:t>
      </w:r>
    </w:p>
    <w:p w14:paraId="6DDC6235">
      <w:pPr>
        <w:autoSpaceDE w:val="0"/>
        <w:autoSpaceDN w:val="0"/>
        <w:adjustRightInd w:val="0"/>
        <w:spacing w:line="360" w:lineRule="auto"/>
        <w:rPr>
          <w:rFonts w:ascii="黑体" w:eastAsia="黑体" w:cs="黑体"/>
          <w:kern w:val="0"/>
          <w:sz w:val="32"/>
          <w:szCs w:val="32"/>
          <w:highlight w:val="none"/>
          <w:lang w:val="zh-CN"/>
        </w:rPr>
      </w:pPr>
      <w:r>
        <w:rPr>
          <w:rFonts w:hint="eastAsia" w:ascii="黑体" w:eastAsia="黑体" w:cs="黑体"/>
          <w:kern w:val="0"/>
          <w:sz w:val="32"/>
          <w:szCs w:val="32"/>
          <w:highlight w:val="none"/>
          <w:lang w:val="zh-CN"/>
        </w:rPr>
        <w:t>一、质疑供应商基本信息</w:t>
      </w:r>
    </w:p>
    <w:p w14:paraId="3AB06E62">
      <w:pPr>
        <w:autoSpaceDE w:val="0"/>
        <w:autoSpaceDN w:val="0"/>
        <w:adjustRightInd w:val="0"/>
        <w:spacing w:line="360" w:lineRule="auto"/>
        <w:rPr>
          <w:rFonts w:ascii="仿宋" w:eastAsia="仿宋" w:cs="仿宋"/>
          <w:kern w:val="0"/>
          <w:sz w:val="32"/>
          <w:szCs w:val="32"/>
          <w:highlight w:val="none"/>
          <w:u w:val="dotted"/>
          <w:lang w:val="zh-CN"/>
        </w:rPr>
      </w:pPr>
      <w:r>
        <w:rPr>
          <w:rFonts w:hint="eastAsia" w:ascii="仿宋" w:eastAsia="仿宋" w:cs="仿宋"/>
          <w:kern w:val="0"/>
          <w:sz w:val="32"/>
          <w:szCs w:val="32"/>
          <w:highlight w:val="none"/>
          <w:lang w:val="zh-CN"/>
        </w:rPr>
        <w:t>质疑供应商：</w:t>
      </w:r>
      <w:r>
        <w:rPr>
          <w:rFonts w:ascii="仿宋" w:eastAsia="仿宋" w:cs="仿宋"/>
          <w:kern w:val="0"/>
          <w:sz w:val="32"/>
          <w:szCs w:val="32"/>
          <w:highlight w:val="none"/>
          <w:u w:val="dotted"/>
          <w:lang w:val="zh-CN"/>
        </w:rPr>
        <w:t xml:space="preserve">                                        </w:t>
      </w:r>
    </w:p>
    <w:p w14:paraId="1D878B6E">
      <w:pPr>
        <w:autoSpaceDE w:val="0"/>
        <w:autoSpaceDN w:val="0"/>
        <w:adjustRightInd w:val="0"/>
        <w:spacing w:line="360" w:lineRule="auto"/>
        <w:rPr>
          <w:rFonts w:ascii="仿宋" w:eastAsia="仿宋" w:cs="仿宋"/>
          <w:kern w:val="0"/>
          <w:sz w:val="32"/>
          <w:szCs w:val="32"/>
          <w:highlight w:val="none"/>
          <w:lang w:val="zh-CN"/>
        </w:rPr>
      </w:pPr>
      <w:r>
        <w:rPr>
          <w:rFonts w:hint="eastAsia" w:ascii="仿宋" w:eastAsia="仿宋" w:cs="仿宋"/>
          <w:kern w:val="0"/>
          <w:sz w:val="32"/>
          <w:szCs w:val="32"/>
          <w:highlight w:val="none"/>
          <w:lang w:val="zh-CN"/>
        </w:rPr>
        <w:t>地址：</w:t>
      </w:r>
      <w:r>
        <w:rPr>
          <w:rFonts w:ascii="仿宋" w:eastAsia="仿宋" w:cs="仿宋"/>
          <w:kern w:val="0"/>
          <w:sz w:val="32"/>
          <w:szCs w:val="32"/>
          <w:highlight w:val="none"/>
          <w:u w:val="dotted"/>
          <w:lang w:val="zh-CN"/>
        </w:rPr>
        <w:t xml:space="preserve">                          </w:t>
      </w:r>
      <w:r>
        <w:rPr>
          <w:rFonts w:hint="eastAsia" w:ascii="仿宋" w:eastAsia="仿宋" w:cs="仿宋"/>
          <w:kern w:val="0"/>
          <w:sz w:val="32"/>
          <w:szCs w:val="32"/>
          <w:highlight w:val="none"/>
          <w:lang w:val="zh-CN"/>
        </w:rPr>
        <w:t>邮编：</w:t>
      </w:r>
      <w:r>
        <w:rPr>
          <w:rFonts w:ascii="仿宋" w:eastAsia="仿宋" w:cs="仿宋"/>
          <w:kern w:val="0"/>
          <w:sz w:val="32"/>
          <w:szCs w:val="32"/>
          <w:highlight w:val="none"/>
          <w:u w:val="dotted"/>
          <w:lang w:val="zh-CN"/>
        </w:rPr>
        <w:t xml:space="preserve">                                                   </w:t>
      </w:r>
    </w:p>
    <w:p w14:paraId="73FCCF07">
      <w:pPr>
        <w:autoSpaceDE w:val="0"/>
        <w:autoSpaceDN w:val="0"/>
        <w:adjustRightInd w:val="0"/>
        <w:spacing w:line="360" w:lineRule="auto"/>
        <w:rPr>
          <w:rFonts w:ascii="仿宋" w:eastAsia="仿宋" w:cs="仿宋"/>
          <w:kern w:val="0"/>
          <w:sz w:val="32"/>
          <w:szCs w:val="32"/>
          <w:highlight w:val="none"/>
          <w:lang w:val="zh-CN"/>
        </w:rPr>
      </w:pPr>
      <w:r>
        <w:rPr>
          <w:rFonts w:hint="eastAsia" w:ascii="仿宋" w:eastAsia="仿宋" w:cs="仿宋"/>
          <w:kern w:val="0"/>
          <w:sz w:val="32"/>
          <w:szCs w:val="32"/>
          <w:highlight w:val="none"/>
          <w:lang w:val="zh-CN"/>
        </w:rPr>
        <w:t>联系人：</w:t>
      </w:r>
      <w:r>
        <w:rPr>
          <w:rFonts w:ascii="仿宋" w:eastAsia="仿宋" w:cs="仿宋"/>
          <w:kern w:val="0"/>
          <w:sz w:val="32"/>
          <w:szCs w:val="32"/>
          <w:highlight w:val="none"/>
          <w:u w:val="dotted"/>
          <w:lang w:val="zh-CN"/>
        </w:rPr>
        <w:t xml:space="preserve">                      </w:t>
      </w:r>
      <w:r>
        <w:rPr>
          <w:rFonts w:hint="eastAsia" w:ascii="仿宋" w:eastAsia="仿宋" w:cs="仿宋"/>
          <w:kern w:val="0"/>
          <w:sz w:val="32"/>
          <w:szCs w:val="32"/>
          <w:highlight w:val="none"/>
          <w:lang w:val="zh-CN"/>
        </w:rPr>
        <w:t>联系电话：</w:t>
      </w:r>
      <w:r>
        <w:rPr>
          <w:rFonts w:ascii="仿宋" w:eastAsia="仿宋" w:cs="仿宋"/>
          <w:kern w:val="0"/>
          <w:sz w:val="32"/>
          <w:szCs w:val="32"/>
          <w:highlight w:val="none"/>
          <w:u w:val="dotted"/>
          <w:lang w:val="zh-CN"/>
        </w:rPr>
        <w:t xml:space="preserve">                              </w:t>
      </w:r>
    </w:p>
    <w:p w14:paraId="449F381A">
      <w:pPr>
        <w:autoSpaceDE w:val="0"/>
        <w:autoSpaceDN w:val="0"/>
        <w:adjustRightInd w:val="0"/>
        <w:spacing w:line="360" w:lineRule="auto"/>
        <w:rPr>
          <w:rFonts w:ascii="仿宋" w:eastAsia="仿宋" w:cs="仿宋"/>
          <w:kern w:val="0"/>
          <w:sz w:val="32"/>
          <w:szCs w:val="32"/>
          <w:highlight w:val="none"/>
          <w:u w:val="dotted"/>
          <w:lang w:val="zh-CN"/>
        </w:rPr>
      </w:pPr>
      <w:r>
        <w:rPr>
          <w:rFonts w:hint="eastAsia" w:ascii="仿宋" w:eastAsia="仿宋" w:cs="仿宋"/>
          <w:kern w:val="0"/>
          <w:sz w:val="32"/>
          <w:szCs w:val="32"/>
          <w:highlight w:val="none"/>
          <w:lang w:val="zh-CN"/>
        </w:rPr>
        <w:t>授权代表：</w:t>
      </w:r>
      <w:r>
        <w:rPr>
          <w:rFonts w:ascii="仿宋" w:eastAsia="仿宋" w:cs="仿宋"/>
          <w:kern w:val="0"/>
          <w:sz w:val="32"/>
          <w:szCs w:val="32"/>
          <w:highlight w:val="none"/>
          <w:u w:val="dotted"/>
          <w:lang w:val="zh-CN"/>
        </w:rPr>
        <w:t xml:space="preserve">                                          </w:t>
      </w:r>
    </w:p>
    <w:p w14:paraId="2B382154">
      <w:pPr>
        <w:autoSpaceDE w:val="0"/>
        <w:autoSpaceDN w:val="0"/>
        <w:adjustRightInd w:val="0"/>
        <w:spacing w:line="360" w:lineRule="auto"/>
        <w:rPr>
          <w:rFonts w:ascii="仿宋" w:eastAsia="仿宋" w:cs="仿宋"/>
          <w:kern w:val="0"/>
          <w:sz w:val="32"/>
          <w:szCs w:val="32"/>
          <w:highlight w:val="none"/>
          <w:lang w:val="zh-CN"/>
        </w:rPr>
      </w:pPr>
      <w:r>
        <w:rPr>
          <w:rFonts w:hint="eastAsia" w:ascii="仿宋" w:eastAsia="仿宋" w:cs="仿宋"/>
          <w:kern w:val="0"/>
          <w:sz w:val="32"/>
          <w:szCs w:val="32"/>
          <w:highlight w:val="none"/>
          <w:lang w:val="zh-CN"/>
        </w:rPr>
        <w:t>联系电话：</w:t>
      </w:r>
      <w:r>
        <w:rPr>
          <w:rFonts w:ascii="仿宋" w:eastAsia="仿宋" w:cs="仿宋"/>
          <w:kern w:val="0"/>
          <w:sz w:val="32"/>
          <w:szCs w:val="32"/>
          <w:highlight w:val="none"/>
          <w:u w:val="dotted"/>
          <w:lang w:val="zh-CN"/>
        </w:rPr>
        <w:t xml:space="preserve">                                           </w:t>
      </w:r>
      <w:r>
        <w:rPr>
          <w:rFonts w:ascii="仿宋" w:eastAsia="仿宋" w:cs="仿宋"/>
          <w:kern w:val="0"/>
          <w:sz w:val="32"/>
          <w:szCs w:val="32"/>
          <w:highlight w:val="none"/>
          <w:lang w:val="zh-CN"/>
        </w:rPr>
        <w:t xml:space="preserve"> </w:t>
      </w:r>
    </w:p>
    <w:p w14:paraId="23634BDD">
      <w:pPr>
        <w:autoSpaceDE w:val="0"/>
        <w:autoSpaceDN w:val="0"/>
        <w:adjustRightInd w:val="0"/>
        <w:spacing w:line="360" w:lineRule="auto"/>
        <w:rPr>
          <w:rFonts w:ascii="仿宋" w:eastAsia="仿宋" w:cs="仿宋"/>
          <w:kern w:val="0"/>
          <w:sz w:val="32"/>
          <w:szCs w:val="32"/>
          <w:highlight w:val="none"/>
          <w:lang w:val="zh-CN"/>
        </w:rPr>
      </w:pPr>
      <w:r>
        <w:rPr>
          <w:rFonts w:hint="eastAsia" w:ascii="仿宋" w:eastAsia="仿宋" w:cs="仿宋"/>
          <w:kern w:val="0"/>
          <w:sz w:val="32"/>
          <w:szCs w:val="32"/>
          <w:highlight w:val="none"/>
          <w:lang w:val="zh-CN"/>
        </w:rPr>
        <w:t>地址：</w:t>
      </w:r>
      <w:r>
        <w:rPr>
          <w:rFonts w:ascii="仿宋" w:eastAsia="仿宋" w:cs="仿宋"/>
          <w:kern w:val="0"/>
          <w:sz w:val="32"/>
          <w:szCs w:val="32"/>
          <w:highlight w:val="none"/>
          <w:lang w:val="zh-CN"/>
        </w:rPr>
        <w:t xml:space="preserve"> </w:t>
      </w:r>
      <w:r>
        <w:rPr>
          <w:rFonts w:ascii="仿宋" w:eastAsia="仿宋" w:cs="仿宋"/>
          <w:kern w:val="0"/>
          <w:sz w:val="32"/>
          <w:szCs w:val="32"/>
          <w:highlight w:val="none"/>
          <w:u w:val="dotted"/>
          <w:lang w:val="zh-CN"/>
        </w:rPr>
        <w:t xml:space="preserve">                        </w:t>
      </w:r>
      <w:r>
        <w:rPr>
          <w:rFonts w:hint="eastAsia" w:ascii="仿宋" w:eastAsia="仿宋" w:cs="仿宋"/>
          <w:kern w:val="0"/>
          <w:sz w:val="32"/>
          <w:szCs w:val="32"/>
          <w:highlight w:val="none"/>
          <w:lang w:val="zh-CN"/>
        </w:rPr>
        <w:t>邮编：</w:t>
      </w:r>
      <w:r>
        <w:rPr>
          <w:rFonts w:ascii="仿宋" w:eastAsia="仿宋" w:cs="仿宋"/>
          <w:kern w:val="0"/>
          <w:sz w:val="32"/>
          <w:szCs w:val="32"/>
          <w:highlight w:val="none"/>
          <w:u w:val="dotted"/>
          <w:lang w:val="zh-CN"/>
        </w:rPr>
        <w:t xml:space="preserve">                                                </w:t>
      </w:r>
    </w:p>
    <w:p w14:paraId="3362278A">
      <w:pPr>
        <w:autoSpaceDE w:val="0"/>
        <w:autoSpaceDN w:val="0"/>
        <w:adjustRightInd w:val="0"/>
        <w:spacing w:line="360" w:lineRule="auto"/>
        <w:rPr>
          <w:rFonts w:ascii="黑体" w:eastAsia="黑体" w:cs="黑体"/>
          <w:kern w:val="0"/>
          <w:sz w:val="32"/>
          <w:szCs w:val="32"/>
          <w:highlight w:val="none"/>
          <w:lang w:val="zh-CN"/>
        </w:rPr>
      </w:pPr>
      <w:r>
        <w:rPr>
          <w:rFonts w:hint="eastAsia" w:ascii="黑体" w:eastAsia="黑体" w:cs="黑体"/>
          <w:kern w:val="0"/>
          <w:sz w:val="32"/>
          <w:szCs w:val="32"/>
          <w:highlight w:val="none"/>
          <w:lang w:val="zh-CN"/>
        </w:rPr>
        <w:t>二、质疑项目基本情况</w:t>
      </w:r>
    </w:p>
    <w:p w14:paraId="5793B332">
      <w:pPr>
        <w:autoSpaceDE w:val="0"/>
        <w:autoSpaceDN w:val="0"/>
        <w:adjustRightInd w:val="0"/>
        <w:spacing w:line="360" w:lineRule="auto"/>
        <w:rPr>
          <w:rFonts w:ascii="仿宋" w:eastAsia="仿宋" w:cs="仿宋"/>
          <w:kern w:val="0"/>
          <w:sz w:val="32"/>
          <w:szCs w:val="32"/>
          <w:highlight w:val="none"/>
          <w:lang w:val="zh-CN"/>
        </w:rPr>
      </w:pPr>
      <w:r>
        <w:rPr>
          <w:rFonts w:hint="eastAsia" w:ascii="仿宋" w:eastAsia="仿宋" w:cs="仿宋"/>
          <w:kern w:val="0"/>
          <w:sz w:val="32"/>
          <w:szCs w:val="32"/>
          <w:highlight w:val="none"/>
          <w:lang w:val="zh-CN"/>
        </w:rPr>
        <w:t>质疑项目的名称：</w:t>
      </w:r>
      <w:r>
        <w:rPr>
          <w:rFonts w:ascii="仿宋" w:eastAsia="仿宋" w:cs="仿宋"/>
          <w:kern w:val="0"/>
          <w:sz w:val="32"/>
          <w:szCs w:val="32"/>
          <w:highlight w:val="none"/>
          <w:u w:val="dotted"/>
          <w:lang w:val="zh-CN"/>
        </w:rPr>
        <w:t xml:space="preserve">                                      </w:t>
      </w:r>
    </w:p>
    <w:p w14:paraId="584E6BBD">
      <w:pPr>
        <w:autoSpaceDE w:val="0"/>
        <w:autoSpaceDN w:val="0"/>
        <w:adjustRightInd w:val="0"/>
        <w:spacing w:line="360" w:lineRule="auto"/>
        <w:rPr>
          <w:rFonts w:ascii="仿宋" w:eastAsia="仿宋" w:cs="仿宋"/>
          <w:kern w:val="0"/>
          <w:sz w:val="32"/>
          <w:szCs w:val="32"/>
          <w:highlight w:val="none"/>
          <w:lang w:val="zh-CN"/>
        </w:rPr>
      </w:pPr>
      <w:r>
        <w:rPr>
          <w:rFonts w:hint="eastAsia" w:ascii="仿宋" w:eastAsia="仿宋" w:cs="仿宋"/>
          <w:kern w:val="0"/>
          <w:sz w:val="32"/>
          <w:szCs w:val="32"/>
          <w:highlight w:val="none"/>
          <w:lang w:val="zh-CN"/>
        </w:rPr>
        <w:t>质疑项目的编号：</w:t>
      </w:r>
      <w:r>
        <w:rPr>
          <w:rFonts w:ascii="仿宋" w:eastAsia="仿宋" w:cs="仿宋"/>
          <w:kern w:val="0"/>
          <w:sz w:val="32"/>
          <w:szCs w:val="32"/>
          <w:highlight w:val="none"/>
          <w:u w:val="dotted"/>
          <w:lang w:val="zh-CN"/>
        </w:rPr>
        <w:t xml:space="preserve">               </w:t>
      </w:r>
      <w:r>
        <w:rPr>
          <w:rFonts w:hint="eastAsia" w:ascii="仿宋" w:eastAsia="仿宋" w:cs="仿宋"/>
          <w:kern w:val="0"/>
          <w:sz w:val="32"/>
          <w:szCs w:val="32"/>
          <w:highlight w:val="none"/>
          <w:lang w:val="zh-CN"/>
        </w:rPr>
        <w:t>包号：</w:t>
      </w:r>
      <w:r>
        <w:rPr>
          <w:rFonts w:ascii="仿宋" w:eastAsia="仿宋" w:cs="仿宋"/>
          <w:kern w:val="0"/>
          <w:sz w:val="32"/>
          <w:szCs w:val="32"/>
          <w:highlight w:val="none"/>
          <w:u w:val="dotted"/>
          <w:lang w:val="zh-CN"/>
        </w:rPr>
        <w:t xml:space="preserve">                 </w:t>
      </w:r>
    </w:p>
    <w:p w14:paraId="5388250D">
      <w:pPr>
        <w:autoSpaceDE w:val="0"/>
        <w:autoSpaceDN w:val="0"/>
        <w:adjustRightInd w:val="0"/>
        <w:spacing w:line="360" w:lineRule="auto"/>
        <w:rPr>
          <w:rFonts w:ascii="仿宋" w:eastAsia="仿宋" w:cs="仿宋"/>
          <w:kern w:val="0"/>
          <w:sz w:val="32"/>
          <w:szCs w:val="32"/>
          <w:highlight w:val="none"/>
          <w:u w:val="dotted"/>
          <w:lang w:val="zh-CN"/>
        </w:rPr>
      </w:pPr>
      <w:r>
        <w:rPr>
          <w:rFonts w:hint="eastAsia" w:ascii="仿宋" w:eastAsia="仿宋" w:cs="仿宋"/>
          <w:kern w:val="0"/>
          <w:sz w:val="32"/>
          <w:szCs w:val="32"/>
          <w:highlight w:val="none"/>
          <w:lang w:val="zh-CN"/>
        </w:rPr>
        <w:t>采购人名称：</w:t>
      </w:r>
      <w:r>
        <w:rPr>
          <w:rFonts w:ascii="仿宋" w:eastAsia="仿宋" w:cs="仿宋"/>
          <w:kern w:val="0"/>
          <w:sz w:val="32"/>
          <w:szCs w:val="32"/>
          <w:highlight w:val="none"/>
          <w:u w:val="dotted"/>
          <w:lang w:val="zh-CN"/>
        </w:rPr>
        <w:t xml:space="preserve">                                         </w:t>
      </w:r>
    </w:p>
    <w:p w14:paraId="29023313">
      <w:pPr>
        <w:autoSpaceDE w:val="0"/>
        <w:autoSpaceDN w:val="0"/>
        <w:adjustRightInd w:val="0"/>
        <w:spacing w:line="360" w:lineRule="auto"/>
        <w:rPr>
          <w:rFonts w:ascii="仿宋" w:eastAsia="仿宋" w:cs="仿宋"/>
          <w:kern w:val="0"/>
          <w:sz w:val="32"/>
          <w:szCs w:val="32"/>
          <w:highlight w:val="none"/>
          <w:lang w:val="zh-CN"/>
        </w:rPr>
      </w:pPr>
      <w:r>
        <w:rPr>
          <w:rFonts w:hint="eastAsia" w:ascii="仿宋" w:eastAsia="仿宋" w:cs="仿宋"/>
          <w:kern w:val="0"/>
          <w:sz w:val="32"/>
          <w:szCs w:val="32"/>
          <w:highlight w:val="none"/>
          <w:lang w:val="zh-CN"/>
        </w:rPr>
        <w:t>采购文件获取日期：</w:t>
      </w:r>
      <w:r>
        <w:rPr>
          <w:rFonts w:ascii="仿宋" w:eastAsia="仿宋" w:cs="仿宋"/>
          <w:kern w:val="0"/>
          <w:sz w:val="32"/>
          <w:szCs w:val="32"/>
          <w:highlight w:val="none"/>
          <w:u w:val="dotted"/>
          <w:lang w:val="zh-CN"/>
        </w:rPr>
        <w:t xml:space="preserve">                                           </w:t>
      </w:r>
    </w:p>
    <w:p w14:paraId="546E2117">
      <w:pPr>
        <w:autoSpaceDE w:val="0"/>
        <w:autoSpaceDN w:val="0"/>
        <w:adjustRightInd w:val="0"/>
        <w:spacing w:line="360" w:lineRule="auto"/>
        <w:rPr>
          <w:rFonts w:ascii="黑体" w:eastAsia="黑体" w:cs="黑体"/>
          <w:kern w:val="0"/>
          <w:sz w:val="32"/>
          <w:szCs w:val="32"/>
          <w:highlight w:val="none"/>
          <w:lang w:val="zh-CN"/>
        </w:rPr>
      </w:pPr>
      <w:r>
        <w:rPr>
          <w:rFonts w:hint="eastAsia" w:ascii="黑体" w:eastAsia="黑体" w:cs="黑体"/>
          <w:kern w:val="0"/>
          <w:sz w:val="32"/>
          <w:szCs w:val="32"/>
          <w:highlight w:val="none"/>
          <w:lang w:val="zh-CN"/>
        </w:rPr>
        <w:t>三、质疑事项具体内容</w:t>
      </w:r>
    </w:p>
    <w:p w14:paraId="1FF84A3F">
      <w:pPr>
        <w:autoSpaceDE w:val="0"/>
        <w:autoSpaceDN w:val="0"/>
        <w:adjustRightInd w:val="0"/>
        <w:spacing w:line="360" w:lineRule="auto"/>
        <w:rPr>
          <w:rFonts w:ascii="仿宋" w:eastAsia="仿宋" w:cs="仿宋"/>
          <w:kern w:val="0"/>
          <w:sz w:val="32"/>
          <w:szCs w:val="32"/>
          <w:highlight w:val="none"/>
          <w:u w:val="dotted"/>
          <w:lang w:val="zh-CN"/>
        </w:rPr>
      </w:pPr>
      <w:r>
        <w:rPr>
          <w:rFonts w:hint="eastAsia" w:ascii="仿宋" w:eastAsia="仿宋" w:cs="仿宋"/>
          <w:kern w:val="0"/>
          <w:sz w:val="32"/>
          <w:szCs w:val="32"/>
          <w:highlight w:val="none"/>
          <w:lang w:val="zh-CN"/>
        </w:rPr>
        <w:t>质疑事项</w:t>
      </w:r>
      <w:r>
        <w:rPr>
          <w:rFonts w:ascii="仿宋" w:eastAsia="仿宋" w:cs="仿宋"/>
          <w:kern w:val="0"/>
          <w:sz w:val="32"/>
          <w:szCs w:val="32"/>
          <w:highlight w:val="none"/>
          <w:lang w:val="zh-CN"/>
        </w:rPr>
        <w:t>1</w:t>
      </w:r>
      <w:r>
        <w:rPr>
          <w:rFonts w:hint="eastAsia" w:ascii="仿宋" w:eastAsia="仿宋" w:cs="仿宋"/>
          <w:kern w:val="0"/>
          <w:sz w:val="32"/>
          <w:szCs w:val="32"/>
          <w:highlight w:val="none"/>
          <w:lang w:val="zh-CN"/>
        </w:rPr>
        <w:t>：</w:t>
      </w:r>
      <w:r>
        <w:rPr>
          <w:rFonts w:ascii="仿宋" w:eastAsia="仿宋" w:cs="仿宋"/>
          <w:kern w:val="0"/>
          <w:sz w:val="32"/>
          <w:szCs w:val="32"/>
          <w:highlight w:val="none"/>
          <w:u w:val="dotted"/>
          <w:lang w:val="zh-CN"/>
        </w:rPr>
        <w:t xml:space="preserve">                                         </w:t>
      </w:r>
    </w:p>
    <w:p w14:paraId="13451307">
      <w:pPr>
        <w:autoSpaceDE w:val="0"/>
        <w:autoSpaceDN w:val="0"/>
        <w:adjustRightInd w:val="0"/>
        <w:spacing w:line="360" w:lineRule="auto"/>
        <w:rPr>
          <w:rFonts w:ascii="仿宋" w:eastAsia="仿宋" w:cs="仿宋"/>
          <w:kern w:val="0"/>
          <w:sz w:val="32"/>
          <w:szCs w:val="32"/>
          <w:highlight w:val="none"/>
          <w:u w:val="dotted"/>
          <w:lang w:val="zh-CN"/>
        </w:rPr>
      </w:pPr>
      <w:r>
        <w:rPr>
          <w:rFonts w:hint="eastAsia" w:ascii="仿宋" w:eastAsia="仿宋" w:cs="仿宋"/>
          <w:kern w:val="0"/>
          <w:sz w:val="32"/>
          <w:szCs w:val="32"/>
          <w:highlight w:val="none"/>
          <w:lang w:val="zh-CN"/>
        </w:rPr>
        <w:t>事实依据：</w:t>
      </w:r>
      <w:r>
        <w:rPr>
          <w:rFonts w:ascii="仿宋" w:eastAsia="仿宋" w:cs="仿宋"/>
          <w:kern w:val="0"/>
          <w:sz w:val="32"/>
          <w:szCs w:val="32"/>
          <w:highlight w:val="none"/>
          <w:u w:val="dotted"/>
          <w:lang w:val="zh-CN"/>
        </w:rPr>
        <w:t xml:space="preserve">                                          </w:t>
      </w:r>
    </w:p>
    <w:p w14:paraId="5BF7B999">
      <w:pPr>
        <w:autoSpaceDE w:val="0"/>
        <w:autoSpaceDN w:val="0"/>
        <w:adjustRightInd w:val="0"/>
        <w:spacing w:line="360" w:lineRule="auto"/>
        <w:rPr>
          <w:rFonts w:ascii="仿宋" w:eastAsia="仿宋" w:cs="仿宋"/>
          <w:kern w:val="0"/>
          <w:sz w:val="32"/>
          <w:szCs w:val="32"/>
          <w:highlight w:val="none"/>
          <w:lang w:val="zh-CN"/>
        </w:rPr>
      </w:pPr>
      <w:r>
        <w:rPr>
          <w:rFonts w:ascii="仿宋" w:eastAsia="仿宋" w:cs="仿宋"/>
          <w:kern w:val="0"/>
          <w:sz w:val="32"/>
          <w:szCs w:val="32"/>
          <w:highlight w:val="none"/>
          <w:u w:val="dotted"/>
          <w:lang w:val="zh-CN"/>
        </w:rPr>
        <w:t xml:space="preserve">                                                       </w:t>
      </w:r>
    </w:p>
    <w:p w14:paraId="49981C6A">
      <w:pPr>
        <w:autoSpaceDE w:val="0"/>
        <w:autoSpaceDN w:val="0"/>
        <w:adjustRightInd w:val="0"/>
        <w:spacing w:line="360" w:lineRule="auto"/>
        <w:rPr>
          <w:rFonts w:ascii="仿宋" w:eastAsia="仿宋" w:cs="仿宋"/>
          <w:kern w:val="0"/>
          <w:sz w:val="32"/>
          <w:szCs w:val="32"/>
          <w:highlight w:val="none"/>
          <w:u w:val="dotted"/>
          <w:lang w:val="zh-CN"/>
        </w:rPr>
      </w:pPr>
      <w:r>
        <w:rPr>
          <w:rFonts w:hint="eastAsia" w:ascii="仿宋" w:eastAsia="仿宋" w:cs="仿宋"/>
          <w:kern w:val="0"/>
          <w:sz w:val="32"/>
          <w:szCs w:val="32"/>
          <w:highlight w:val="none"/>
          <w:lang w:val="zh-CN"/>
        </w:rPr>
        <w:t>法律依据：</w:t>
      </w:r>
      <w:r>
        <w:rPr>
          <w:rFonts w:ascii="仿宋" w:eastAsia="仿宋" w:cs="仿宋"/>
          <w:kern w:val="0"/>
          <w:sz w:val="32"/>
          <w:szCs w:val="32"/>
          <w:highlight w:val="none"/>
          <w:u w:val="dotted"/>
          <w:lang w:val="zh-CN"/>
        </w:rPr>
        <w:t xml:space="preserve">                                          </w:t>
      </w:r>
    </w:p>
    <w:p w14:paraId="6B86F5AF">
      <w:pPr>
        <w:autoSpaceDE w:val="0"/>
        <w:autoSpaceDN w:val="0"/>
        <w:adjustRightInd w:val="0"/>
        <w:spacing w:line="360" w:lineRule="auto"/>
        <w:rPr>
          <w:rFonts w:ascii="仿宋" w:eastAsia="仿宋" w:cs="仿宋"/>
          <w:kern w:val="0"/>
          <w:sz w:val="32"/>
          <w:szCs w:val="32"/>
          <w:highlight w:val="none"/>
          <w:u w:val="dotted"/>
          <w:lang w:val="zh-CN"/>
        </w:rPr>
      </w:pPr>
      <w:r>
        <w:rPr>
          <w:rFonts w:ascii="仿宋" w:eastAsia="仿宋" w:cs="仿宋"/>
          <w:kern w:val="0"/>
          <w:sz w:val="32"/>
          <w:szCs w:val="32"/>
          <w:highlight w:val="none"/>
          <w:u w:val="dotted"/>
          <w:lang w:val="zh-CN"/>
        </w:rPr>
        <w:t xml:space="preserve">                                                     </w:t>
      </w:r>
    </w:p>
    <w:p w14:paraId="338C18FC">
      <w:pPr>
        <w:autoSpaceDE w:val="0"/>
        <w:autoSpaceDN w:val="0"/>
        <w:adjustRightInd w:val="0"/>
        <w:spacing w:line="360" w:lineRule="auto"/>
        <w:rPr>
          <w:rFonts w:ascii="仿宋" w:eastAsia="仿宋" w:cs="仿宋"/>
          <w:kern w:val="0"/>
          <w:sz w:val="32"/>
          <w:szCs w:val="32"/>
          <w:highlight w:val="none"/>
          <w:u w:val="dotted"/>
          <w:lang w:val="zh-CN"/>
        </w:rPr>
      </w:pPr>
      <w:r>
        <w:rPr>
          <w:rFonts w:hint="eastAsia" w:ascii="仿宋" w:eastAsia="仿宋" w:cs="仿宋"/>
          <w:kern w:val="0"/>
          <w:sz w:val="32"/>
          <w:szCs w:val="32"/>
          <w:highlight w:val="none"/>
          <w:lang w:val="zh-CN"/>
        </w:rPr>
        <w:t>质疑事项</w:t>
      </w:r>
      <w:r>
        <w:rPr>
          <w:rFonts w:ascii="仿宋" w:eastAsia="仿宋" w:cs="仿宋"/>
          <w:kern w:val="0"/>
          <w:sz w:val="32"/>
          <w:szCs w:val="32"/>
          <w:highlight w:val="none"/>
          <w:lang w:val="zh-CN"/>
        </w:rPr>
        <w:t>2</w:t>
      </w:r>
    </w:p>
    <w:p w14:paraId="20A7504B">
      <w:pPr>
        <w:autoSpaceDE w:val="0"/>
        <w:autoSpaceDN w:val="0"/>
        <w:adjustRightInd w:val="0"/>
        <w:spacing w:line="360" w:lineRule="auto"/>
        <w:rPr>
          <w:rFonts w:ascii="仿宋" w:eastAsia="仿宋" w:cs="仿宋"/>
          <w:kern w:val="0"/>
          <w:sz w:val="32"/>
          <w:szCs w:val="32"/>
          <w:highlight w:val="none"/>
          <w:lang w:val="zh-CN"/>
        </w:rPr>
      </w:pPr>
      <w:r>
        <w:rPr>
          <w:rFonts w:hint="eastAsia" w:ascii="仿宋" w:eastAsia="仿宋" w:cs="仿宋"/>
          <w:kern w:val="0"/>
          <w:sz w:val="32"/>
          <w:szCs w:val="32"/>
          <w:highlight w:val="none"/>
          <w:lang w:val="zh-CN"/>
        </w:rPr>
        <w:t>……</w:t>
      </w:r>
    </w:p>
    <w:p w14:paraId="4DC0116E">
      <w:pPr>
        <w:autoSpaceDE w:val="0"/>
        <w:autoSpaceDN w:val="0"/>
        <w:adjustRightInd w:val="0"/>
        <w:spacing w:line="360" w:lineRule="auto"/>
        <w:rPr>
          <w:rFonts w:ascii="黑体" w:eastAsia="黑体" w:cs="黑体"/>
          <w:kern w:val="0"/>
          <w:sz w:val="32"/>
          <w:szCs w:val="32"/>
          <w:highlight w:val="none"/>
          <w:lang w:val="zh-CN"/>
        </w:rPr>
      </w:pPr>
      <w:r>
        <w:rPr>
          <w:rFonts w:hint="eastAsia" w:ascii="黑体" w:eastAsia="黑体" w:cs="黑体"/>
          <w:kern w:val="0"/>
          <w:sz w:val="32"/>
          <w:szCs w:val="32"/>
          <w:highlight w:val="none"/>
          <w:lang w:val="zh-CN"/>
        </w:rPr>
        <w:t>四、与质疑事项相关的质疑请求</w:t>
      </w:r>
    </w:p>
    <w:p w14:paraId="5C698E0A">
      <w:pPr>
        <w:autoSpaceDE w:val="0"/>
        <w:autoSpaceDN w:val="0"/>
        <w:adjustRightInd w:val="0"/>
        <w:spacing w:line="360" w:lineRule="auto"/>
        <w:rPr>
          <w:rFonts w:ascii="仿宋" w:eastAsia="仿宋" w:cs="仿宋"/>
          <w:kern w:val="0"/>
          <w:sz w:val="32"/>
          <w:szCs w:val="32"/>
          <w:highlight w:val="none"/>
          <w:u w:val="dotted"/>
          <w:lang w:val="zh-CN"/>
        </w:rPr>
      </w:pPr>
      <w:r>
        <w:rPr>
          <w:rFonts w:hint="eastAsia" w:ascii="仿宋" w:eastAsia="仿宋" w:cs="仿宋"/>
          <w:kern w:val="0"/>
          <w:sz w:val="32"/>
          <w:szCs w:val="32"/>
          <w:highlight w:val="none"/>
          <w:lang w:val="zh-CN"/>
        </w:rPr>
        <w:t>请求：</w:t>
      </w:r>
      <w:r>
        <w:rPr>
          <w:rFonts w:ascii="仿宋" w:eastAsia="仿宋" w:cs="仿宋"/>
          <w:kern w:val="0"/>
          <w:sz w:val="32"/>
          <w:szCs w:val="32"/>
          <w:highlight w:val="none"/>
          <w:u w:val="dotted"/>
          <w:lang w:val="zh-CN"/>
        </w:rPr>
        <w:t xml:space="preserve">                                               </w:t>
      </w:r>
    </w:p>
    <w:p w14:paraId="587AF0BF">
      <w:pPr>
        <w:autoSpaceDE w:val="0"/>
        <w:autoSpaceDN w:val="0"/>
        <w:adjustRightInd w:val="0"/>
        <w:rPr>
          <w:rFonts w:ascii="??_GB2312" w:hAnsi="??_GB2312" w:cs="??_GB2312"/>
          <w:kern w:val="0"/>
          <w:sz w:val="30"/>
          <w:szCs w:val="30"/>
          <w:highlight w:val="none"/>
        </w:rPr>
      </w:pPr>
      <w:r>
        <w:rPr>
          <w:rFonts w:hint="eastAsia" w:ascii="宋体" w:cs="宋体"/>
          <w:kern w:val="0"/>
          <w:sz w:val="30"/>
          <w:szCs w:val="30"/>
          <w:highlight w:val="none"/>
          <w:lang w:val="zh-CN"/>
        </w:rPr>
        <w:t>签字</w:t>
      </w:r>
      <w:r>
        <w:rPr>
          <w:rFonts w:ascii="??_GB2312" w:hAnsi="??_GB2312" w:cs="??_GB2312"/>
          <w:kern w:val="0"/>
          <w:sz w:val="30"/>
          <w:szCs w:val="30"/>
          <w:highlight w:val="none"/>
        </w:rPr>
        <w:t>(</w:t>
      </w:r>
      <w:r>
        <w:rPr>
          <w:rFonts w:hint="eastAsia" w:ascii="宋体" w:hAnsi="??_GB2312" w:cs="宋体"/>
          <w:kern w:val="0"/>
          <w:sz w:val="30"/>
          <w:szCs w:val="30"/>
          <w:highlight w:val="none"/>
          <w:lang w:val="zh-CN"/>
        </w:rPr>
        <w:t>盖章</w:t>
      </w:r>
      <w:r>
        <w:rPr>
          <w:rFonts w:ascii="??_GB2312" w:hAnsi="??_GB2312" w:cs="??_GB2312"/>
          <w:kern w:val="0"/>
          <w:sz w:val="30"/>
          <w:szCs w:val="30"/>
          <w:highlight w:val="none"/>
        </w:rPr>
        <w:t>)</w:t>
      </w:r>
      <w:r>
        <w:rPr>
          <w:rFonts w:hint="eastAsia" w:ascii="宋体" w:hAnsi="??_GB2312" w:cs="宋体"/>
          <w:kern w:val="0"/>
          <w:sz w:val="30"/>
          <w:szCs w:val="30"/>
          <w:highlight w:val="none"/>
          <w:lang w:val="zh-CN"/>
        </w:rPr>
        <w:t>：</w:t>
      </w:r>
      <w:r>
        <w:rPr>
          <w:rFonts w:ascii="??_GB2312" w:hAnsi="??_GB2312" w:cs="??_GB2312"/>
          <w:kern w:val="0"/>
          <w:sz w:val="30"/>
          <w:szCs w:val="30"/>
          <w:highlight w:val="none"/>
        </w:rPr>
        <w:t xml:space="preserve">                   </w:t>
      </w:r>
      <w:r>
        <w:rPr>
          <w:rFonts w:hint="eastAsia" w:ascii="宋体" w:hAnsi="??_GB2312" w:cs="宋体"/>
          <w:kern w:val="0"/>
          <w:sz w:val="30"/>
          <w:szCs w:val="30"/>
          <w:highlight w:val="none"/>
          <w:lang w:val="zh-CN"/>
        </w:rPr>
        <w:t>公章：</w:t>
      </w:r>
      <w:r>
        <w:rPr>
          <w:rFonts w:ascii="??_GB2312" w:hAnsi="??_GB2312" w:cs="??_GB2312"/>
          <w:kern w:val="0"/>
          <w:sz w:val="30"/>
          <w:szCs w:val="30"/>
          <w:highlight w:val="none"/>
        </w:rPr>
        <w:t xml:space="preserve">                      </w:t>
      </w:r>
    </w:p>
    <w:p w14:paraId="7F72A46D">
      <w:pPr>
        <w:autoSpaceDE w:val="0"/>
        <w:autoSpaceDN w:val="0"/>
        <w:adjustRightInd w:val="0"/>
        <w:rPr>
          <w:rFonts w:ascii="??_GB2312" w:hAnsi="??_GB2312" w:cs="??_GB2312"/>
          <w:kern w:val="0"/>
          <w:sz w:val="30"/>
          <w:szCs w:val="30"/>
          <w:highlight w:val="none"/>
        </w:rPr>
      </w:pPr>
      <w:r>
        <w:rPr>
          <w:rFonts w:hint="eastAsia" w:ascii="宋体" w:hAnsi="??_GB2312" w:cs="宋体"/>
          <w:kern w:val="0"/>
          <w:sz w:val="30"/>
          <w:szCs w:val="30"/>
          <w:highlight w:val="none"/>
          <w:lang w:val="zh-CN"/>
        </w:rPr>
        <w:t>日期：</w:t>
      </w:r>
      <w:r>
        <w:rPr>
          <w:rFonts w:ascii="??_GB2312" w:hAnsi="??_GB2312" w:cs="??_GB2312"/>
          <w:kern w:val="0"/>
          <w:sz w:val="30"/>
          <w:szCs w:val="30"/>
          <w:highlight w:val="none"/>
        </w:rPr>
        <w:t xml:space="preserve">    </w:t>
      </w:r>
    </w:p>
    <w:p w14:paraId="6C1AF004">
      <w:pPr>
        <w:autoSpaceDE w:val="0"/>
        <w:autoSpaceDN w:val="0"/>
        <w:adjustRightInd w:val="0"/>
        <w:rPr>
          <w:rFonts w:ascii="??_GB2312" w:hAnsi="??_GB2312" w:cs="??_GB2312"/>
          <w:kern w:val="0"/>
          <w:sz w:val="30"/>
          <w:szCs w:val="30"/>
          <w:highlight w:val="none"/>
        </w:rPr>
      </w:pPr>
    </w:p>
    <w:p w14:paraId="6076C48F">
      <w:pPr>
        <w:autoSpaceDE w:val="0"/>
        <w:autoSpaceDN w:val="0"/>
        <w:adjustRightInd w:val="0"/>
        <w:rPr>
          <w:rFonts w:ascii="黑体" w:hAnsi="??_GB2312" w:eastAsia="黑体" w:cs="黑体"/>
          <w:b/>
          <w:bCs/>
          <w:kern w:val="0"/>
          <w:sz w:val="32"/>
          <w:szCs w:val="32"/>
          <w:highlight w:val="none"/>
          <w:lang w:val="zh-CN"/>
        </w:rPr>
      </w:pPr>
      <w:r>
        <w:rPr>
          <w:rFonts w:hint="eastAsia" w:ascii="黑体" w:hAnsi="??_GB2312" w:eastAsia="黑体" w:cs="黑体"/>
          <w:b/>
          <w:bCs/>
          <w:kern w:val="0"/>
          <w:sz w:val="32"/>
          <w:szCs w:val="32"/>
          <w:highlight w:val="none"/>
          <w:lang w:val="zh-CN"/>
        </w:rPr>
        <w:t>质疑函制作说明：</w:t>
      </w:r>
    </w:p>
    <w:p w14:paraId="475F8C92">
      <w:pPr>
        <w:autoSpaceDE w:val="0"/>
        <w:autoSpaceDN w:val="0"/>
        <w:adjustRightInd w:val="0"/>
        <w:ind w:firstLine="640"/>
        <w:jc w:val="left"/>
        <w:rPr>
          <w:rFonts w:ascii="仿宋" w:eastAsia="仿宋" w:cs="仿宋"/>
          <w:kern w:val="0"/>
          <w:sz w:val="32"/>
          <w:szCs w:val="32"/>
          <w:highlight w:val="none"/>
          <w:lang w:val="zh-CN"/>
        </w:rPr>
      </w:pPr>
      <w:r>
        <w:rPr>
          <w:rFonts w:ascii="仿宋" w:eastAsia="仿宋" w:cs="仿宋"/>
          <w:kern w:val="0"/>
          <w:sz w:val="32"/>
          <w:szCs w:val="32"/>
          <w:highlight w:val="none"/>
          <w:lang w:val="zh-CN"/>
        </w:rPr>
        <w:t>1.</w:t>
      </w:r>
      <w:r>
        <w:rPr>
          <w:rFonts w:hint="eastAsia" w:ascii="仿宋" w:eastAsia="仿宋" w:cs="仿宋"/>
          <w:kern w:val="0"/>
          <w:sz w:val="32"/>
          <w:szCs w:val="32"/>
          <w:highlight w:val="none"/>
          <w:lang w:val="zh-CN"/>
        </w:rPr>
        <w:t>供应商提出质疑时，应提交质疑函和必要的证明材料。</w:t>
      </w:r>
    </w:p>
    <w:p w14:paraId="37A0A916">
      <w:pPr>
        <w:autoSpaceDE w:val="0"/>
        <w:autoSpaceDN w:val="0"/>
        <w:adjustRightInd w:val="0"/>
        <w:ind w:firstLine="640"/>
        <w:jc w:val="left"/>
        <w:rPr>
          <w:rFonts w:ascii="仿宋" w:eastAsia="仿宋" w:cs="仿宋"/>
          <w:kern w:val="0"/>
          <w:sz w:val="32"/>
          <w:szCs w:val="32"/>
          <w:highlight w:val="none"/>
          <w:lang w:val="zh-CN"/>
        </w:rPr>
      </w:pPr>
      <w:r>
        <w:rPr>
          <w:rFonts w:ascii="仿宋" w:eastAsia="仿宋" w:cs="仿宋"/>
          <w:kern w:val="0"/>
          <w:sz w:val="32"/>
          <w:szCs w:val="32"/>
          <w:highlight w:val="none"/>
          <w:lang w:val="zh-CN"/>
        </w:rPr>
        <w:t>2.</w:t>
      </w:r>
      <w:r>
        <w:rPr>
          <w:rFonts w:hint="eastAsia" w:ascii="仿宋" w:eastAsia="仿宋" w:cs="仿宋"/>
          <w:kern w:val="0"/>
          <w:sz w:val="32"/>
          <w:szCs w:val="32"/>
          <w:highlight w:val="none"/>
          <w:lang w:val="zh-CN"/>
        </w:rPr>
        <w:t>质疑供应商若委托代理人进行质疑的，质疑函应按要求列明</w:t>
      </w:r>
      <w:r>
        <w:rPr>
          <w:rFonts w:ascii="仿宋" w:eastAsia="仿宋" w:cs="仿宋"/>
          <w:kern w:val="0"/>
          <w:sz w:val="32"/>
          <w:szCs w:val="32"/>
          <w:highlight w:val="none"/>
          <w:lang w:val="zh-CN"/>
        </w:rPr>
        <w:t>“</w:t>
      </w:r>
      <w:r>
        <w:rPr>
          <w:rFonts w:hint="eastAsia" w:ascii="仿宋" w:eastAsia="仿宋" w:cs="仿宋"/>
          <w:kern w:val="0"/>
          <w:sz w:val="32"/>
          <w:szCs w:val="32"/>
          <w:highlight w:val="none"/>
          <w:lang w:val="zh-CN"/>
        </w:rPr>
        <w:t>授权代表</w:t>
      </w:r>
      <w:r>
        <w:rPr>
          <w:rFonts w:ascii="仿宋" w:eastAsia="仿宋" w:cs="仿宋"/>
          <w:kern w:val="0"/>
          <w:sz w:val="32"/>
          <w:szCs w:val="32"/>
          <w:highlight w:val="none"/>
          <w:lang w:val="zh-CN"/>
        </w:rPr>
        <w:t>”</w:t>
      </w:r>
      <w:r>
        <w:rPr>
          <w:rFonts w:hint="eastAsia" w:ascii="仿宋" w:eastAsia="仿宋" w:cs="仿宋"/>
          <w:kern w:val="0"/>
          <w:sz w:val="32"/>
          <w:szCs w:val="32"/>
          <w:highlight w:val="none"/>
          <w:lang w:val="zh-CN"/>
        </w:rPr>
        <w:t>的有关内容，并在附件中提交由质疑供应商签署的授权委托书。授权委托书应载明代理人的姓名或者名称、代理事项、具体权限、期限和相关事项。</w:t>
      </w:r>
    </w:p>
    <w:p w14:paraId="298387FC">
      <w:pPr>
        <w:autoSpaceDE w:val="0"/>
        <w:autoSpaceDN w:val="0"/>
        <w:adjustRightInd w:val="0"/>
        <w:ind w:firstLine="640"/>
        <w:jc w:val="left"/>
        <w:rPr>
          <w:rFonts w:ascii="仿宋" w:eastAsia="仿宋" w:cs="仿宋"/>
          <w:kern w:val="0"/>
          <w:sz w:val="32"/>
          <w:szCs w:val="32"/>
          <w:highlight w:val="none"/>
          <w:lang w:val="zh-CN"/>
        </w:rPr>
      </w:pPr>
      <w:r>
        <w:rPr>
          <w:rFonts w:ascii="仿宋" w:eastAsia="仿宋" w:cs="仿宋"/>
          <w:kern w:val="0"/>
          <w:sz w:val="32"/>
          <w:szCs w:val="32"/>
          <w:highlight w:val="none"/>
          <w:lang w:val="zh-CN"/>
        </w:rPr>
        <w:t>3.</w:t>
      </w:r>
      <w:r>
        <w:rPr>
          <w:rFonts w:hint="eastAsia" w:ascii="仿宋" w:eastAsia="仿宋" w:cs="仿宋"/>
          <w:kern w:val="0"/>
          <w:sz w:val="32"/>
          <w:szCs w:val="32"/>
          <w:highlight w:val="none"/>
          <w:lang w:val="zh-CN"/>
        </w:rPr>
        <w:t>质疑供应商若对项目的某一分包进行质疑，质疑函中应列明具体分包号。</w:t>
      </w:r>
    </w:p>
    <w:p w14:paraId="3604A3F7">
      <w:pPr>
        <w:autoSpaceDE w:val="0"/>
        <w:autoSpaceDN w:val="0"/>
        <w:adjustRightInd w:val="0"/>
        <w:ind w:firstLine="640"/>
        <w:jc w:val="left"/>
        <w:rPr>
          <w:rFonts w:ascii="仿宋" w:eastAsia="仿宋" w:cs="仿宋"/>
          <w:kern w:val="0"/>
          <w:sz w:val="32"/>
          <w:szCs w:val="32"/>
          <w:highlight w:val="none"/>
          <w:lang w:val="zh-CN"/>
        </w:rPr>
      </w:pPr>
      <w:r>
        <w:rPr>
          <w:rFonts w:ascii="仿宋" w:eastAsia="仿宋" w:cs="仿宋"/>
          <w:kern w:val="0"/>
          <w:sz w:val="32"/>
          <w:szCs w:val="32"/>
          <w:highlight w:val="none"/>
          <w:lang w:val="zh-CN"/>
        </w:rPr>
        <w:t>4.</w:t>
      </w:r>
      <w:r>
        <w:rPr>
          <w:rFonts w:hint="eastAsia" w:ascii="仿宋" w:eastAsia="仿宋" w:cs="仿宋"/>
          <w:kern w:val="0"/>
          <w:sz w:val="32"/>
          <w:szCs w:val="32"/>
          <w:highlight w:val="none"/>
          <w:lang w:val="zh-CN"/>
        </w:rPr>
        <w:t>质疑函的质疑事项应具体、明确，并有必要的事实依据和法律依据。</w:t>
      </w:r>
    </w:p>
    <w:p w14:paraId="6B131744">
      <w:pPr>
        <w:autoSpaceDE w:val="0"/>
        <w:autoSpaceDN w:val="0"/>
        <w:adjustRightInd w:val="0"/>
        <w:ind w:firstLine="640"/>
        <w:jc w:val="left"/>
        <w:rPr>
          <w:rFonts w:ascii="仿宋" w:eastAsia="仿宋" w:cs="仿宋"/>
          <w:kern w:val="0"/>
          <w:sz w:val="32"/>
          <w:szCs w:val="32"/>
          <w:highlight w:val="none"/>
          <w:lang w:val="zh-CN"/>
        </w:rPr>
      </w:pPr>
      <w:r>
        <w:rPr>
          <w:rFonts w:ascii="仿宋" w:eastAsia="仿宋" w:cs="仿宋"/>
          <w:kern w:val="0"/>
          <w:sz w:val="32"/>
          <w:szCs w:val="32"/>
          <w:highlight w:val="none"/>
          <w:lang w:val="zh-CN"/>
        </w:rPr>
        <w:t>5.</w:t>
      </w:r>
      <w:r>
        <w:rPr>
          <w:rFonts w:hint="eastAsia" w:ascii="仿宋" w:eastAsia="仿宋" w:cs="仿宋"/>
          <w:kern w:val="0"/>
          <w:sz w:val="32"/>
          <w:szCs w:val="32"/>
          <w:highlight w:val="none"/>
          <w:lang w:val="zh-CN"/>
        </w:rPr>
        <w:t>质疑函的质疑请求应与质疑事项相关。</w:t>
      </w:r>
    </w:p>
    <w:p w14:paraId="46880D49">
      <w:pPr>
        <w:autoSpaceDE w:val="0"/>
        <w:autoSpaceDN w:val="0"/>
        <w:adjustRightInd w:val="0"/>
        <w:ind w:firstLine="640"/>
        <w:jc w:val="left"/>
        <w:rPr>
          <w:rFonts w:ascii="仿宋" w:eastAsia="仿宋" w:cs="仿宋"/>
          <w:kern w:val="0"/>
          <w:sz w:val="32"/>
          <w:szCs w:val="32"/>
          <w:highlight w:val="none"/>
          <w:lang w:val="zh-CN"/>
        </w:rPr>
      </w:pPr>
      <w:r>
        <w:rPr>
          <w:rFonts w:ascii="仿宋" w:eastAsia="仿宋" w:cs="仿宋"/>
          <w:kern w:val="0"/>
          <w:sz w:val="32"/>
          <w:szCs w:val="32"/>
          <w:highlight w:val="none"/>
          <w:lang w:val="zh-CN"/>
        </w:rPr>
        <w:t>6.</w:t>
      </w:r>
      <w:r>
        <w:rPr>
          <w:rFonts w:hint="eastAsia" w:ascii="仿宋" w:eastAsia="仿宋" w:cs="仿宋"/>
          <w:kern w:val="0"/>
          <w:sz w:val="32"/>
          <w:szCs w:val="32"/>
          <w:highlight w:val="none"/>
          <w:lang w:val="zh-CN"/>
        </w:rPr>
        <w:t>质疑供应商为自然人的，质疑函应由本人签字；质疑供应商为法人或者其他组织的，质疑函应由法定代表人、主要负责人，或者其授权代表签字或者盖章，并加盖公章。</w:t>
      </w:r>
    </w:p>
    <w:sectPr>
      <w:pgSz w:w="11906" w:h="16838"/>
      <w:pgMar w:top="1440" w:right="1800" w:bottom="1440" w:left="1800" w:header="851" w:footer="992" w:gutter="0"/>
      <w:pgNumType w:fmt="numberInDash"/>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黑体ＣＳ">
    <w:altName w:val="宋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2FBFD">
    <w:pPr>
      <w:pStyle w:val="22"/>
    </w:pPr>
    <w:r>
      <w:rPr>
        <w:lang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246BA32">
                          <w:pPr>
                            <w:pStyle w:val="22"/>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r2yFcywEAAJcDAAAOAAAAAAAAAAEAIAAAACIBAABkcnMv&#10;ZTJvRG9jLnhtbFBLBQYAAAAABgAGAFkBAABfBQAAAAA=&#10;">
              <v:fill on="f" focussize="0,0"/>
              <v:stroke on="f" weight="1.25pt"/>
              <v:imagedata o:title=""/>
              <o:lock v:ext="edit" aspectratio="f"/>
              <v:textbox inset="0mm,0mm,0mm,0mm" style="mso-fit-shape-to-text:t;">
                <w:txbxContent>
                  <w:p w14:paraId="7246BA32">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6F95">
    <w:pPr>
      <w:pStyle w:val="22"/>
      <w:spacing w:before="100" w:beforeAutospacing="1" w:after="100" w:afterAutospacing="1"/>
      <w:ind w:right="360"/>
      <w:jc w:val="both"/>
      <w:rPr>
        <w:rFonts w:ascii="仿宋_GB2312" w:hAnsi="Arial" w:eastAsia="仿宋_GB2312"/>
        <w:b/>
        <w:sz w:val="21"/>
        <w:szCs w:val="21"/>
      </w:rPr>
    </w:pPr>
    <w:r>
      <w:rPr>
        <w:sz w:val="24"/>
        <w:lang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14:paraId="3201049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- 48 -</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20.7pt;width:19.5pt;mso-position-horizontal:center;mso-position-horizontal-relative:margin;mso-wrap-style:none;z-index:251659264;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glE0NEAAAADAQAADwAAAAAAAAABACAAAAAiAAAAZHJzL2Rvd25yZXYueG1s&#10;UEsBAhQAFAAAAAgAh07iQGJpRq7GAQAAiwMAAA4AAAAAAAAAAQAgAAAAIAEAAGRycy9lMm9Eb2Mu&#10;eG1sUEsFBgAAAAAGAAYAWQEAAFgFAAAAAA==&#10;">
              <v:fill on="f" focussize="0,0"/>
              <v:stroke on="f"/>
              <v:imagedata o:title=""/>
              <o:lock v:ext="edit" aspectratio="f"/>
              <v:textbox inset="0mm,0mm,0mm,0mm" style="mso-fit-shape-to-text:t;">
                <w:txbxContent>
                  <w:p w14:paraId="3201049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- 48 -</w:t>
                    </w:r>
                    <w:r>
                      <w:rPr>
                        <w:rFonts w:hint="eastAsia"/>
                        <w:sz w:val="18"/>
                      </w:rPr>
                      <w:fldChar w:fldCharType="end"/>
                    </w:r>
                  </w:p>
                </w:txbxContent>
              </v:textbox>
            </v:shape>
          </w:pict>
        </mc:Fallback>
      </mc:AlternateContent>
    </w:r>
    <w:r>
      <w:rPr>
        <w:rFonts w:hint="eastAsia" w:ascii="Arial" w:hAnsi="Arial"/>
        <w:b/>
        <w:sz w:val="24"/>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B7434">
    <w:pPr>
      <w:pStyle w:val="23"/>
      <w:jc w:val="left"/>
      <w:rPr>
        <w:i/>
        <w:iCs/>
      </w:rPr>
    </w:pPr>
    <w:r>
      <w:rPr>
        <w:rFonts w:hint="eastAsia"/>
        <w:i/>
        <w:iCs/>
      </w:rPr>
      <w:t>宣郎溪县人民医院医共体基础设施提升改造项目EPC监理服务采购项目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604ED">
    <w:pPr>
      <w:pStyle w:val="23"/>
      <w:jc w:val="both"/>
      <w:rPr>
        <w:rFonts w:ascii="Arial" w:hAnsi="Arial" w:eastAsia="黑体" w:cs="Arial"/>
        <w:i/>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5A0E9"/>
    <w:multiLevelType w:val="singleLevel"/>
    <w:tmpl w:val="ABB5A0E9"/>
    <w:lvl w:ilvl="0" w:tentative="0">
      <w:start w:val="1"/>
      <w:numFmt w:val="chineseCounting"/>
      <w:suff w:val="nothing"/>
      <w:lvlText w:val="%1、"/>
      <w:lvlJc w:val="left"/>
      <w:rPr>
        <w:rFonts w:hint="eastAsia"/>
      </w:rPr>
    </w:lvl>
  </w:abstractNum>
  <w:abstractNum w:abstractNumId="1">
    <w:nsid w:val="C3B5DA44"/>
    <w:multiLevelType w:val="singleLevel"/>
    <w:tmpl w:val="C3B5DA44"/>
    <w:lvl w:ilvl="0" w:tentative="0">
      <w:start w:val="1"/>
      <w:numFmt w:val="decimal"/>
      <w:suff w:val="nothing"/>
      <w:lvlText w:val="（%1）"/>
      <w:lvlJc w:val="left"/>
    </w:lvl>
  </w:abstractNum>
  <w:abstractNum w:abstractNumId="2">
    <w:nsid w:val="0619109F"/>
    <w:multiLevelType w:val="singleLevel"/>
    <w:tmpl w:val="0619109F"/>
    <w:lvl w:ilvl="0" w:tentative="0">
      <w:start w:val="8"/>
      <w:numFmt w:val="decimal"/>
      <w:suff w:val="nothing"/>
      <w:lvlText w:val="%1、"/>
      <w:lvlJc w:val="left"/>
    </w:lvl>
  </w:abstractNum>
  <w:abstractNum w:abstractNumId="3">
    <w:nsid w:val="3AC4EB70"/>
    <w:multiLevelType w:val="singleLevel"/>
    <w:tmpl w:val="3AC4EB70"/>
    <w:lvl w:ilvl="0" w:tentative="0">
      <w:start w:val="1"/>
      <w:numFmt w:val="chineseCounting"/>
      <w:suff w:val="nothing"/>
      <w:lvlText w:val="%1、"/>
      <w:lvlJc w:val="left"/>
      <w:rPr>
        <w:rFonts w:hint="eastAsia"/>
      </w:rPr>
    </w:lvl>
  </w:abstractNum>
  <w:abstractNum w:abstractNumId="4">
    <w:nsid w:val="40AB1CBA"/>
    <w:multiLevelType w:val="singleLevel"/>
    <w:tmpl w:val="40AB1CBA"/>
    <w:lvl w:ilvl="0" w:tentative="0">
      <w:start w:val="2"/>
      <w:numFmt w:val="upperLetter"/>
      <w:pStyle w:val="2"/>
      <w:lvlText w:val="%1."/>
      <w:lvlJc w:val="left"/>
      <w:pPr>
        <w:tabs>
          <w:tab w:val="left" w:pos="1830"/>
        </w:tabs>
        <w:ind w:left="1830" w:hanging="360"/>
      </w:pPr>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6"/>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ZjU2NDFmNmYwODMxYTYzOWM4Zjc0ZWFkZmM1NjgifQ=="/>
    <w:docVar w:name="KSO_WPS_MARK_KEY" w:val="eb9cd89c-6784-4b1d-be89-70ae59008725"/>
  </w:docVars>
  <w:rsids>
    <w:rsidRoot w:val="002C345F"/>
    <w:rsid w:val="00000D2E"/>
    <w:rsid w:val="000015B5"/>
    <w:rsid w:val="000016D3"/>
    <w:rsid w:val="000025C1"/>
    <w:rsid w:val="0000264E"/>
    <w:rsid w:val="00002683"/>
    <w:rsid w:val="000026D8"/>
    <w:rsid w:val="00002A2F"/>
    <w:rsid w:val="00002B9F"/>
    <w:rsid w:val="00002C8F"/>
    <w:rsid w:val="00002CEF"/>
    <w:rsid w:val="0000310C"/>
    <w:rsid w:val="00003197"/>
    <w:rsid w:val="00004758"/>
    <w:rsid w:val="00007763"/>
    <w:rsid w:val="00010249"/>
    <w:rsid w:val="00010B2C"/>
    <w:rsid w:val="00010BC6"/>
    <w:rsid w:val="00010DCB"/>
    <w:rsid w:val="00011892"/>
    <w:rsid w:val="0001256A"/>
    <w:rsid w:val="00013764"/>
    <w:rsid w:val="00013E4A"/>
    <w:rsid w:val="00014062"/>
    <w:rsid w:val="00014114"/>
    <w:rsid w:val="0001542F"/>
    <w:rsid w:val="00016226"/>
    <w:rsid w:val="00016C35"/>
    <w:rsid w:val="00016DBD"/>
    <w:rsid w:val="00017631"/>
    <w:rsid w:val="00017AA8"/>
    <w:rsid w:val="00017D5E"/>
    <w:rsid w:val="000202ED"/>
    <w:rsid w:val="00021710"/>
    <w:rsid w:val="00022562"/>
    <w:rsid w:val="00022AEC"/>
    <w:rsid w:val="00023598"/>
    <w:rsid w:val="00023B6E"/>
    <w:rsid w:val="000248EC"/>
    <w:rsid w:val="00024A0C"/>
    <w:rsid w:val="00026EBE"/>
    <w:rsid w:val="0002749A"/>
    <w:rsid w:val="00027524"/>
    <w:rsid w:val="00027597"/>
    <w:rsid w:val="000301CD"/>
    <w:rsid w:val="000301D9"/>
    <w:rsid w:val="0003033D"/>
    <w:rsid w:val="00030697"/>
    <w:rsid w:val="0003095F"/>
    <w:rsid w:val="00032D91"/>
    <w:rsid w:val="00033D72"/>
    <w:rsid w:val="000343EB"/>
    <w:rsid w:val="00034D29"/>
    <w:rsid w:val="00035114"/>
    <w:rsid w:val="00035EC6"/>
    <w:rsid w:val="00035FC4"/>
    <w:rsid w:val="00035FF8"/>
    <w:rsid w:val="00037751"/>
    <w:rsid w:val="00037855"/>
    <w:rsid w:val="00037B12"/>
    <w:rsid w:val="000407FD"/>
    <w:rsid w:val="00041196"/>
    <w:rsid w:val="00041792"/>
    <w:rsid w:val="00041CAA"/>
    <w:rsid w:val="0004240B"/>
    <w:rsid w:val="00042762"/>
    <w:rsid w:val="00042E89"/>
    <w:rsid w:val="00043814"/>
    <w:rsid w:val="00043CF7"/>
    <w:rsid w:val="0004574D"/>
    <w:rsid w:val="0004717D"/>
    <w:rsid w:val="000474DE"/>
    <w:rsid w:val="00051BE3"/>
    <w:rsid w:val="00051D0D"/>
    <w:rsid w:val="00051EDC"/>
    <w:rsid w:val="000524AA"/>
    <w:rsid w:val="00052518"/>
    <w:rsid w:val="00052D0C"/>
    <w:rsid w:val="00052D60"/>
    <w:rsid w:val="00053847"/>
    <w:rsid w:val="00053C93"/>
    <w:rsid w:val="00055258"/>
    <w:rsid w:val="00055502"/>
    <w:rsid w:val="00056356"/>
    <w:rsid w:val="00056581"/>
    <w:rsid w:val="0005756B"/>
    <w:rsid w:val="00057F97"/>
    <w:rsid w:val="0006183D"/>
    <w:rsid w:val="0006220B"/>
    <w:rsid w:val="00063095"/>
    <w:rsid w:val="00064168"/>
    <w:rsid w:val="00064357"/>
    <w:rsid w:val="000651B7"/>
    <w:rsid w:val="00065262"/>
    <w:rsid w:val="0006621D"/>
    <w:rsid w:val="000666B2"/>
    <w:rsid w:val="00066969"/>
    <w:rsid w:val="00067B27"/>
    <w:rsid w:val="00070D8F"/>
    <w:rsid w:val="00070E4C"/>
    <w:rsid w:val="000718D7"/>
    <w:rsid w:val="0007259A"/>
    <w:rsid w:val="00072AA9"/>
    <w:rsid w:val="000733BD"/>
    <w:rsid w:val="00074BA5"/>
    <w:rsid w:val="00074F83"/>
    <w:rsid w:val="00075DEA"/>
    <w:rsid w:val="00077187"/>
    <w:rsid w:val="00080661"/>
    <w:rsid w:val="0008302A"/>
    <w:rsid w:val="00083377"/>
    <w:rsid w:val="00083981"/>
    <w:rsid w:val="00084705"/>
    <w:rsid w:val="00085CA2"/>
    <w:rsid w:val="00085CF1"/>
    <w:rsid w:val="0008624F"/>
    <w:rsid w:val="00086329"/>
    <w:rsid w:val="00086336"/>
    <w:rsid w:val="000865B0"/>
    <w:rsid w:val="00087651"/>
    <w:rsid w:val="00092463"/>
    <w:rsid w:val="00092C10"/>
    <w:rsid w:val="00093526"/>
    <w:rsid w:val="000940E9"/>
    <w:rsid w:val="000941A6"/>
    <w:rsid w:val="00094CAE"/>
    <w:rsid w:val="00095074"/>
    <w:rsid w:val="000A13C1"/>
    <w:rsid w:val="000A25AA"/>
    <w:rsid w:val="000A2772"/>
    <w:rsid w:val="000A2C46"/>
    <w:rsid w:val="000A7698"/>
    <w:rsid w:val="000B0B0C"/>
    <w:rsid w:val="000B10CC"/>
    <w:rsid w:val="000B11C7"/>
    <w:rsid w:val="000B2EC3"/>
    <w:rsid w:val="000B3743"/>
    <w:rsid w:val="000B4C07"/>
    <w:rsid w:val="000B550D"/>
    <w:rsid w:val="000B6A30"/>
    <w:rsid w:val="000C0533"/>
    <w:rsid w:val="000C2539"/>
    <w:rsid w:val="000C314A"/>
    <w:rsid w:val="000C3FA6"/>
    <w:rsid w:val="000C50E8"/>
    <w:rsid w:val="000C595A"/>
    <w:rsid w:val="000C67AB"/>
    <w:rsid w:val="000C689D"/>
    <w:rsid w:val="000C6B01"/>
    <w:rsid w:val="000C734F"/>
    <w:rsid w:val="000D10A8"/>
    <w:rsid w:val="000D1A75"/>
    <w:rsid w:val="000D1BF6"/>
    <w:rsid w:val="000D1D9C"/>
    <w:rsid w:val="000D1F35"/>
    <w:rsid w:val="000D2129"/>
    <w:rsid w:val="000D253B"/>
    <w:rsid w:val="000D2AC7"/>
    <w:rsid w:val="000D4024"/>
    <w:rsid w:val="000D4EDE"/>
    <w:rsid w:val="000D5539"/>
    <w:rsid w:val="000D6392"/>
    <w:rsid w:val="000D7984"/>
    <w:rsid w:val="000D79FD"/>
    <w:rsid w:val="000E1D2F"/>
    <w:rsid w:val="000E29A7"/>
    <w:rsid w:val="000E2E98"/>
    <w:rsid w:val="000E4240"/>
    <w:rsid w:val="000E5305"/>
    <w:rsid w:val="000E7F7F"/>
    <w:rsid w:val="000F022E"/>
    <w:rsid w:val="000F149C"/>
    <w:rsid w:val="000F17F0"/>
    <w:rsid w:val="000F214F"/>
    <w:rsid w:val="000F3B75"/>
    <w:rsid w:val="000F463F"/>
    <w:rsid w:val="000F68AA"/>
    <w:rsid w:val="000F6ACC"/>
    <w:rsid w:val="000F6B3C"/>
    <w:rsid w:val="001002A0"/>
    <w:rsid w:val="001003AD"/>
    <w:rsid w:val="00100EDF"/>
    <w:rsid w:val="001014DC"/>
    <w:rsid w:val="00101A5B"/>
    <w:rsid w:val="00102799"/>
    <w:rsid w:val="001029A1"/>
    <w:rsid w:val="001039AB"/>
    <w:rsid w:val="001040EA"/>
    <w:rsid w:val="0010426F"/>
    <w:rsid w:val="001058FE"/>
    <w:rsid w:val="00105AEB"/>
    <w:rsid w:val="00106142"/>
    <w:rsid w:val="00110E91"/>
    <w:rsid w:val="00110EBE"/>
    <w:rsid w:val="00111A32"/>
    <w:rsid w:val="00113821"/>
    <w:rsid w:val="00113991"/>
    <w:rsid w:val="00114D33"/>
    <w:rsid w:val="00115891"/>
    <w:rsid w:val="00117113"/>
    <w:rsid w:val="00120239"/>
    <w:rsid w:val="00120806"/>
    <w:rsid w:val="00120B20"/>
    <w:rsid w:val="0012144C"/>
    <w:rsid w:val="00121869"/>
    <w:rsid w:val="00121C9B"/>
    <w:rsid w:val="0012202A"/>
    <w:rsid w:val="00122410"/>
    <w:rsid w:val="00122D0D"/>
    <w:rsid w:val="001232B0"/>
    <w:rsid w:val="00123313"/>
    <w:rsid w:val="001235B3"/>
    <w:rsid w:val="00123A35"/>
    <w:rsid w:val="00123F6C"/>
    <w:rsid w:val="0012474D"/>
    <w:rsid w:val="00124781"/>
    <w:rsid w:val="00124BD6"/>
    <w:rsid w:val="00126586"/>
    <w:rsid w:val="0012675C"/>
    <w:rsid w:val="00126B5A"/>
    <w:rsid w:val="00126EBA"/>
    <w:rsid w:val="0012748F"/>
    <w:rsid w:val="001311DA"/>
    <w:rsid w:val="001322AE"/>
    <w:rsid w:val="00132BDF"/>
    <w:rsid w:val="00132C9D"/>
    <w:rsid w:val="001336FA"/>
    <w:rsid w:val="00133891"/>
    <w:rsid w:val="00134F83"/>
    <w:rsid w:val="0013681D"/>
    <w:rsid w:val="001372AA"/>
    <w:rsid w:val="00140823"/>
    <w:rsid w:val="00141803"/>
    <w:rsid w:val="00141FC3"/>
    <w:rsid w:val="0014267B"/>
    <w:rsid w:val="001428D4"/>
    <w:rsid w:val="00143674"/>
    <w:rsid w:val="00144A29"/>
    <w:rsid w:val="00144CDB"/>
    <w:rsid w:val="001477CB"/>
    <w:rsid w:val="001478AF"/>
    <w:rsid w:val="001478B1"/>
    <w:rsid w:val="0015252B"/>
    <w:rsid w:val="00153458"/>
    <w:rsid w:val="00153C1C"/>
    <w:rsid w:val="00154AB3"/>
    <w:rsid w:val="00154BB5"/>
    <w:rsid w:val="00155633"/>
    <w:rsid w:val="00155B75"/>
    <w:rsid w:val="0015652B"/>
    <w:rsid w:val="0015653D"/>
    <w:rsid w:val="00156B37"/>
    <w:rsid w:val="00156C3A"/>
    <w:rsid w:val="00157537"/>
    <w:rsid w:val="00157D21"/>
    <w:rsid w:val="00160379"/>
    <w:rsid w:val="001607F7"/>
    <w:rsid w:val="00160EC7"/>
    <w:rsid w:val="00161B9D"/>
    <w:rsid w:val="00162067"/>
    <w:rsid w:val="001625FF"/>
    <w:rsid w:val="00162BE5"/>
    <w:rsid w:val="001633F6"/>
    <w:rsid w:val="00163491"/>
    <w:rsid w:val="00163830"/>
    <w:rsid w:val="00163ED2"/>
    <w:rsid w:val="00164818"/>
    <w:rsid w:val="0016515F"/>
    <w:rsid w:val="001653F2"/>
    <w:rsid w:val="0016543A"/>
    <w:rsid w:val="001654F6"/>
    <w:rsid w:val="00165870"/>
    <w:rsid w:val="00166ACB"/>
    <w:rsid w:val="001700B3"/>
    <w:rsid w:val="00170A44"/>
    <w:rsid w:val="001711F9"/>
    <w:rsid w:val="0017196C"/>
    <w:rsid w:val="00172567"/>
    <w:rsid w:val="001732C1"/>
    <w:rsid w:val="00173372"/>
    <w:rsid w:val="0017351F"/>
    <w:rsid w:val="0017414F"/>
    <w:rsid w:val="00174BF8"/>
    <w:rsid w:val="0017718F"/>
    <w:rsid w:val="00177D07"/>
    <w:rsid w:val="0018180E"/>
    <w:rsid w:val="00181B0F"/>
    <w:rsid w:val="00181F1D"/>
    <w:rsid w:val="00182F6F"/>
    <w:rsid w:val="00183331"/>
    <w:rsid w:val="0018352E"/>
    <w:rsid w:val="00183813"/>
    <w:rsid w:val="0018385F"/>
    <w:rsid w:val="00183C3D"/>
    <w:rsid w:val="00184365"/>
    <w:rsid w:val="0018548B"/>
    <w:rsid w:val="00186264"/>
    <w:rsid w:val="001873BA"/>
    <w:rsid w:val="00187439"/>
    <w:rsid w:val="00187E15"/>
    <w:rsid w:val="00190052"/>
    <w:rsid w:val="00190482"/>
    <w:rsid w:val="00190672"/>
    <w:rsid w:val="001915F5"/>
    <w:rsid w:val="0019183E"/>
    <w:rsid w:val="001921D8"/>
    <w:rsid w:val="00194799"/>
    <w:rsid w:val="00194F02"/>
    <w:rsid w:val="001968EB"/>
    <w:rsid w:val="00197AD1"/>
    <w:rsid w:val="001A093D"/>
    <w:rsid w:val="001A13DA"/>
    <w:rsid w:val="001A3EAD"/>
    <w:rsid w:val="001A481F"/>
    <w:rsid w:val="001A4B53"/>
    <w:rsid w:val="001A5B72"/>
    <w:rsid w:val="001A5C0E"/>
    <w:rsid w:val="001A66B0"/>
    <w:rsid w:val="001A7B5D"/>
    <w:rsid w:val="001B1A3A"/>
    <w:rsid w:val="001B1D81"/>
    <w:rsid w:val="001B1E41"/>
    <w:rsid w:val="001B3979"/>
    <w:rsid w:val="001B40EA"/>
    <w:rsid w:val="001B5BA7"/>
    <w:rsid w:val="001B61BC"/>
    <w:rsid w:val="001B6E38"/>
    <w:rsid w:val="001B75DF"/>
    <w:rsid w:val="001B7DE7"/>
    <w:rsid w:val="001B7F14"/>
    <w:rsid w:val="001C0123"/>
    <w:rsid w:val="001C0CF5"/>
    <w:rsid w:val="001C18BC"/>
    <w:rsid w:val="001C1C50"/>
    <w:rsid w:val="001C20DF"/>
    <w:rsid w:val="001C21AB"/>
    <w:rsid w:val="001C2F01"/>
    <w:rsid w:val="001C486F"/>
    <w:rsid w:val="001C5A50"/>
    <w:rsid w:val="001C5AE0"/>
    <w:rsid w:val="001C6E56"/>
    <w:rsid w:val="001C7285"/>
    <w:rsid w:val="001D0023"/>
    <w:rsid w:val="001D1BF7"/>
    <w:rsid w:val="001D2976"/>
    <w:rsid w:val="001D418C"/>
    <w:rsid w:val="001D4432"/>
    <w:rsid w:val="001D566E"/>
    <w:rsid w:val="001D5FB0"/>
    <w:rsid w:val="001D6242"/>
    <w:rsid w:val="001D6611"/>
    <w:rsid w:val="001D7229"/>
    <w:rsid w:val="001E068B"/>
    <w:rsid w:val="001E1CB3"/>
    <w:rsid w:val="001E354B"/>
    <w:rsid w:val="001E38C8"/>
    <w:rsid w:val="001E4456"/>
    <w:rsid w:val="001E4D83"/>
    <w:rsid w:val="001E5057"/>
    <w:rsid w:val="001E5B30"/>
    <w:rsid w:val="001E74ED"/>
    <w:rsid w:val="001E7855"/>
    <w:rsid w:val="001F0511"/>
    <w:rsid w:val="001F451F"/>
    <w:rsid w:val="001F4ED0"/>
    <w:rsid w:val="001F6AF4"/>
    <w:rsid w:val="001F78C2"/>
    <w:rsid w:val="002001C6"/>
    <w:rsid w:val="00200D5A"/>
    <w:rsid w:val="00201F88"/>
    <w:rsid w:val="00202847"/>
    <w:rsid w:val="00202971"/>
    <w:rsid w:val="00203C4D"/>
    <w:rsid w:val="0020405B"/>
    <w:rsid w:val="002043DC"/>
    <w:rsid w:val="002061C2"/>
    <w:rsid w:val="00206A91"/>
    <w:rsid w:val="00207035"/>
    <w:rsid w:val="00207A08"/>
    <w:rsid w:val="00210616"/>
    <w:rsid w:val="00210E21"/>
    <w:rsid w:val="002117D8"/>
    <w:rsid w:val="0021297D"/>
    <w:rsid w:val="002134A2"/>
    <w:rsid w:val="00213A49"/>
    <w:rsid w:val="00213F4C"/>
    <w:rsid w:val="00214342"/>
    <w:rsid w:val="0021471C"/>
    <w:rsid w:val="00214930"/>
    <w:rsid w:val="00214DBF"/>
    <w:rsid w:val="00215713"/>
    <w:rsid w:val="0021621D"/>
    <w:rsid w:val="002163D4"/>
    <w:rsid w:val="00216BE2"/>
    <w:rsid w:val="00216C72"/>
    <w:rsid w:val="00217E68"/>
    <w:rsid w:val="00217EC4"/>
    <w:rsid w:val="002210C9"/>
    <w:rsid w:val="00222565"/>
    <w:rsid w:val="0022288D"/>
    <w:rsid w:val="00222A79"/>
    <w:rsid w:val="00222C87"/>
    <w:rsid w:val="00223269"/>
    <w:rsid w:val="002233F0"/>
    <w:rsid w:val="00224F06"/>
    <w:rsid w:val="00224FAA"/>
    <w:rsid w:val="00226470"/>
    <w:rsid w:val="00227192"/>
    <w:rsid w:val="002277B8"/>
    <w:rsid w:val="0023086F"/>
    <w:rsid w:val="00230ADA"/>
    <w:rsid w:val="0023134C"/>
    <w:rsid w:val="00231688"/>
    <w:rsid w:val="002316C0"/>
    <w:rsid w:val="00231B7A"/>
    <w:rsid w:val="00231D0A"/>
    <w:rsid w:val="0023394D"/>
    <w:rsid w:val="002368C3"/>
    <w:rsid w:val="002368E6"/>
    <w:rsid w:val="00236F2E"/>
    <w:rsid w:val="00237610"/>
    <w:rsid w:val="00237A4F"/>
    <w:rsid w:val="00241C2C"/>
    <w:rsid w:val="00241CD1"/>
    <w:rsid w:val="002428C1"/>
    <w:rsid w:val="00242965"/>
    <w:rsid w:val="002440EE"/>
    <w:rsid w:val="002445A6"/>
    <w:rsid w:val="00244E2C"/>
    <w:rsid w:val="00245034"/>
    <w:rsid w:val="0024590C"/>
    <w:rsid w:val="0025101D"/>
    <w:rsid w:val="002510B4"/>
    <w:rsid w:val="0025187B"/>
    <w:rsid w:val="002521F3"/>
    <w:rsid w:val="00252997"/>
    <w:rsid w:val="002530E2"/>
    <w:rsid w:val="00253D62"/>
    <w:rsid w:val="00254224"/>
    <w:rsid w:val="00254428"/>
    <w:rsid w:val="00256382"/>
    <w:rsid w:val="00261079"/>
    <w:rsid w:val="00263846"/>
    <w:rsid w:val="002649E1"/>
    <w:rsid w:val="00264C7A"/>
    <w:rsid w:val="00265300"/>
    <w:rsid w:val="00266196"/>
    <w:rsid w:val="00266757"/>
    <w:rsid w:val="0026680A"/>
    <w:rsid w:val="00271C7B"/>
    <w:rsid w:val="00275676"/>
    <w:rsid w:val="002757DA"/>
    <w:rsid w:val="00275C85"/>
    <w:rsid w:val="00276DBF"/>
    <w:rsid w:val="00277D47"/>
    <w:rsid w:val="00277D58"/>
    <w:rsid w:val="00277EA9"/>
    <w:rsid w:val="0028099A"/>
    <w:rsid w:val="002818E0"/>
    <w:rsid w:val="00281FC8"/>
    <w:rsid w:val="00284157"/>
    <w:rsid w:val="002843D8"/>
    <w:rsid w:val="0028469C"/>
    <w:rsid w:val="00284E59"/>
    <w:rsid w:val="00286F7A"/>
    <w:rsid w:val="002870C1"/>
    <w:rsid w:val="00287261"/>
    <w:rsid w:val="00287B25"/>
    <w:rsid w:val="0029087F"/>
    <w:rsid w:val="00291893"/>
    <w:rsid w:val="00291B25"/>
    <w:rsid w:val="00292DC5"/>
    <w:rsid w:val="00292DFF"/>
    <w:rsid w:val="00292E1F"/>
    <w:rsid w:val="00292F93"/>
    <w:rsid w:val="002956B2"/>
    <w:rsid w:val="002961D4"/>
    <w:rsid w:val="002967A2"/>
    <w:rsid w:val="00296CD3"/>
    <w:rsid w:val="002973D3"/>
    <w:rsid w:val="0029793E"/>
    <w:rsid w:val="00297ECB"/>
    <w:rsid w:val="002A050F"/>
    <w:rsid w:val="002A12C4"/>
    <w:rsid w:val="002A1CCD"/>
    <w:rsid w:val="002A271E"/>
    <w:rsid w:val="002A3A1D"/>
    <w:rsid w:val="002A6AAA"/>
    <w:rsid w:val="002A7590"/>
    <w:rsid w:val="002A7D24"/>
    <w:rsid w:val="002B009B"/>
    <w:rsid w:val="002B02FC"/>
    <w:rsid w:val="002B3BFE"/>
    <w:rsid w:val="002B42EB"/>
    <w:rsid w:val="002B4ADF"/>
    <w:rsid w:val="002B51B5"/>
    <w:rsid w:val="002B56E2"/>
    <w:rsid w:val="002B71F1"/>
    <w:rsid w:val="002B7781"/>
    <w:rsid w:val="002B7981"/>
    <w:rsid w:val="002C01B6"/>
    <w:rsid w:val="002C092F"/>
    <w:rsid w:val="002C0BB4"/>
    <w:rsid w:val="002C262C"/>
    <w:rsid w:val="002C26C3"/>
    <w:rsid w:val="002C2DFE"/>
    <w:rsid w:val="002C345F"/>
    <w:rsid w:val="002C34A3"/>
    <w:rsid w:val="002C4885"/>
    <w:rsid w:val="002C524C"/>
    <w:rsid w:val="002C56CD"/>
    <w:rsid w:val="002C5C85"/>
    <w:rsid w:val="002C5EE8"/>
    <w:rsid w:val="002C5FB3"/>
    <w:rsid w:val="002C6BFE"/>
    <w:rsid w:val="002C7873"/>
    <w:rsid w:val="002D0193"/>
    <w:rsid w:val="002D14B2"/>
    <w:rsid w:val="002D1626"/>
    <w:rsid w:val="002D2341"/>
    <w:rsid w:val="002D263D"/>
    <w:rsid w:val="002D27E1"/>
    <w:rsid w:val="002D2884"/>
    <w:rsid w:val="002D3FDF"/>
    <w:rsid w:val="002D4959"/>
    <w:rsid w:val="002D56E5"/>
    <w:rsid w:val="002D57C3"/>
    <w:rsid w:val="002D7EBD"/>
    <w:rsid w:val="002E0764"/>
    <w:rsid w:val="002E2DDA"/>
    <w:rsid w:val="002E301B"/>
    <w:rsid w:val="002E3F39"/>
    <w:rsid w:val="002E4025"/>
    <w:rsid w:val="002E40AF"/>
    <w:rsid w:val="002E5D54"/>
    <w:rsid w:val="002E6700"/>
    <w:rsid w:val="002E7201"/>
    <w:rsid w:val="002E767E"/>
    <w:rsid w:val="002F0DB7"/>
    <w:rsid w:val="002F24EA"/>
    <w:rsid w:val="002F39DD"/>
    <w:rsid w:val="002F4B25"/>
    <w:rsid w:val="002F5761"/>
    <w:rsid w:val="002F59B6"/>
    <w:rsid w:val="00300B06"/>
    <w:rsid w:val="0030184C"/>
    <w:rsid w:val="00301E0D"/>
    <w:rsid w:val="00302AAE"/>
    <w:rsid w:val="00303377"/>
    <w:rsid w:val="00303442"/>
    <w:rsid w:val="00303CA5"/>
    <w:rsid w:val="00304DA0"/>
    <w:rsid w:val="00305122"/>
    <w:rsid w:val="0030515A"/>
    <w:rsid w:val="003052A4"/>
    <w:rsid w:val="00305721"/>
    <w:rsid w:val="003076CD"/>
    <w:rsid w:val="00307DBF"/>
    <w:rsid w:val="003108B2"/>
    <w:rsid w:val="00311C44"/>
    <w:rsid w:val="00312635"/>
    <w:rsid w:val="00312ECE"/>
    <w:rsid w:val="0031301A"/>
    <w:rsid w:val="00313FF9"/>
    <w:rsid w:val="00314754"/>
    <w:rsid w:val="003148EC"/>
    <w:rsid w:val="00314B2C"/>
    <w:rsid w:val="003154E9"/>
    <w:rsid w:val="0031690D"/>
    <w:rsid w:val="00316D0D"/>
    <w:rsid w:val="003203C0"/>
    <w:rsid w:val="00320655"/>
    <w:rsid w:val="00320D1C"/>
    <w:rsid w:val="0032187E"/>
    <w:rsid w:val="0032191C"/>
    <w:rsid w:val="00321F68"/>
    <w:rsid w:val="00323A69"/>
    <w:rsid w:val="00325D1C"/>
    <w:rsid w:val="00325FD2"/>
    <w:rsid w:val="003260C6"/>
    <w:rsid w:val="003262E8"/>
    <w:rsid w:val="00326585"/>
    <w:rsid w:val="00326A2E"/>
    <w:rsid w:val="0032741C"/>
    <w:rsid w:val="00330C5F"/>
    <w:rsid w:val="00331BA6"/>
    <w:rsid w:val="00332B1A"/>
    <w:rsid w:val="0033307B"/>
    <w:rsid w:val="003334CC"/>
    <w:rsid w:val="00334284"/>
    <w:rsid w:val="003343AD"/>
    <w:rsid w:val="00334F1E"/>
    <w:rsid w:val="003369BC"/>
    <w:rsid w:val="00337586"/>
    <w:rsid w:val="00337C59"/>
    <w:rsid w:val="0034088C"/>
    <w:rsid w:val="00341EC3"/>
    <w:rsid w:val="00342155"/>
    <w:rsid w:val="00342297"/>
    <w:rsid w:val="0034310C"/>
    <w:rsid w:val="00343240"/>
    <w:rsid w:val="00344102"/>
    <w:rsid w:val="00344F41"/>
    <w:rsid w:val="00345B83"/>
    <w:rsid w:val="00345D94"/>
    <w:rsid w:val="00345F7A"/>
    <w:rsid w:val="0035151A"/>
    <w:rsid w:val="00351AD7"/>
    <w:rsid w:val="003525B7"/>
    <w:rsid w:val="003525D2"/>
    <w:rsid w:val="00352FBF"/>
    <w:rsid w:val="00353513"/>
    <w:rsid w:val="00354711"/>
    <w:rsid w:val="003549C1"/>
    <w:rsid w:val="00355232"/>
    <w:rsid w:val="00355F36"/>
    <w:rsid w:val="00356559"/>
    <w:rsid w:val="00356E10"/>
    <w:rsid w:val="003601BA"/>
    <w:rsid w:val="00360C19"/>
    <w:rsid w:val="00362491"/>
    <w:rsid w:val="003641A0"/>
    <w:rsid w:val="003646D5"/>
    <w:rsid w:val="00364AC6"/>
    <w:rsid w:val="00364F25"/>
    <w:rsid w:val="0036511C"/>
    <w:rsid w:val="00365361"/>
    <w:rsid w:val="0036558D"/>
    <w:rsid w:val="00366254"/>
    <w:rsid w:val="00366ED8"/>
    <w:rsid w:val="003675C5"/>
    <w:rsid w:val="00367790"/>
    <w:rsid w:val="003679C8"/>
    <w:rsid w:val="0037013E"/>
    <w:rsid w:val="00371BD0"/>
    <w:rsid w:val="00371C07"/>
    <w:rsid w:val="00371E0D"/>
    <w:rsid w:val="00372668"/>
    <w:rsid w:val="003727CA"/>
    <w:rsid w:val="00372EB0"/>
    <w:rsid w:val="00372F2A"/>
    <w:rsid w:val="003734FE"/>
    <w:rsid w:val="0037356A"/>
    <w:rsid w:val="003735F0"/>
    <w:rsid w:val="00376CD0"/>
    <w:rsid w:val="00377632"/>
    <w:rsid w:val="0037788E"/>
    <w:rsid w:val="00380B67"/>
    <w:rsid w:val="00380D14"/>
    <w:rsid w:val="003811BB"/>
    <w:rsid w:val="00381917"/>
    <w:rsid w:val="00381973"/>
    <w:rsid w:val="00381983"/>
    <w:rsid w:val="00381AC7"/>
    <w:rsid w:val="003828B6"/>
    <w:rsid w:val="00384561"/>
    <w:rsid w:val="00385198"/>
    <w:rsid w:val="00385592"/>
    <w:rsid w:val="0038603D"/>
    <w:rsid w:val="00386F7D"/>
    <w:rsid w:val="003902AF"/>
    <w:rsid w:val="003904BC"/>
    <w:rsid w:val="00391517"/>
    <w:rsid w:val="00391BEF"/>
    <w:rsid w:val="00392155"/>
    <w:rsid w:val="00393158"/>
    <w:rsid w:val="00393448"/>
    <w:rsid w:val="00393761"/>
    <w:rsid w:val="00393FED"/>
    <w:rsid w:val="00394CA7"/>
    <w:rsid w:val="00395962"/>
    <w:rsid w:val="00396868"/>
    <w:rsid w:val="00396A37"/>
    <w:rsid w:val="003A0C25"/>
    <w:rsid w:val="003A23E3"/>
    <w:rsid w:val="003A27E6"/>
    <w:rsid w:val="003A2CAD"/>
    <w:rsid w:val="003A3F5D"/>
    <w:rsid w:val="003A501C"/>
    <w:rsid w:val="003A57E8"/>
    <w:rsid w:val="003A5C89"/>
    <w:rsid w:val="003A5E09"/>
    <w:rsid w:val="003A7E9A"/>
    <w:rsid w:val="003A7F70"/>
    <w:rsid w:val="003B032C"/>
    <w:rsid w:val="003B110C"/>
    <w:rsid w:val="003B1A0B"/>
    <w:rsid w:val="003B200D"/>
    <w:rsid w:val="003B27B7"/>
    <w:rsid w:val="003B2D56"/>
    <w:rsid w:val="003B2E8F"/>
    <w:rsid w:val="003B30EA"/>
    <w:rsid w:val="003B34CE"/>
    <w:rsid w:val="003B35F1"/>
    <w:rsid w:val="003B35FF"/>
    <w:rsid w:val="003B41E9"/>
    <w:rsid w:val="003B4502"/>
    <w:rsid w:val="003B55FE"/>
    <w:rsid w:val="003B62A4"/>
    <w:rsid w:val="003B6603"/>
    <w:rsid w:val="003B68A0"/>
    <w:rsid w:val="003C0130"/>
    <w:rsid w:val="003C029E"/>
    <w:rsid w:val="003C116F"/>
    <w:rsid w:val="003C32C0"/>
    <w:rsid w:val="003C4263"/>
    <w:rsid w:val="003C47B6"/>
    <w:rsid w:val="003C4CE3"/>
    <w:rsid w:val="003C56EF"/>
    <w:rsid w:val="003C60B6"/>
    <w:rsid w:val="003C63EB"/>
    <w:rsid w:val="003C6449"/>
    <w:rsid w:val="003D05CA"/>
    <w:rsid w:val="003D1010"/>
    <w:rsid w:val="003D222E"/>
    <w:rsid w:val="003D22E5"/>
    <w:rsid w:val="003D313B"/>
    <w:rsid w:val="003D3402"/>
    <w:rsid w:val="003D7764"/>
    <w:rsid w:val="003E074A"/>
    <w:rsid w:val="003E0794"/>
    <w:rsid w:val="003E1741"/>
    <w:rsid w:val="003E274A"/>
    <w:rsid w:val="003E27D0"/>
    <w:rsid w:val="003E2A35"/>
    <w:rsid w:val="003E3B2A"/>
    <w:rsid w:val="003E460B"/>
    <w:rsid w:val="003E4977"/>
    <w:rsid w:val="003E52C6"/>
    <w:rsid w:val="003E537F"/>
    <w:rsid w:val="003E5B8C"/>
    <w:rsid w:val="003E6565"/>
    <w:rsid w:val="003E7207"/>
    <w:rsid w:val="003E77F7"/>
    <w:rsid w:val="003F022D"/>
    <w:rsid w:val="003F03FB"/>
    <w:rsid w:val="003F1B48"/>
    <w:rsid w:val="003F280A"/>
    <w:rsid w:val="003F30FD"/>
    <w:rsid w:val="003F418B"/>
    <w:rsid w:val="003F4F4C"/>
    <w:rsid w:val="003F54D1"/>
    <w:rsid w:val="003F579B"/>
    <w:rsid w:val="003F6473"/>
    <w:rsid w:val="003F66AD"/>
    <w:rsid w:val="003F6A49"/>
    <w:rsid w:val="003F726A"/>
    <w:rsid w:val="00400BA0"/>
    <w:rsid w:val="00401D3D"/>
    <w:rsid w:val="004026AA"/>
    <w:rsid w:val="004037CA"/>
    <w:rsid w:val="004053A9"/>
    <w:rsid w:val="00405E12"/>
    <w:rsid w:val="004066E5"/>
    <w:rsid w:val="00407E1C"/>
    <w:rsid w:val="00410137"/>
    <w:rsid w:val="00413490"/>
    <w:rsid w:val="00413F00"/>
    <w:rsid w:val="004143D7"/>
    <w:rsid w:val="00414518"/>
    <w:rsid w:val="00414638"/>
    <w:rsid w:val="00414C48"/>
    <w:rsid w:val="00415660"/>
    <w:rsid w:val="0041602D"/>
    <w:rsid w:val="004163DC"/>
    <w:rsid w:val="00417067"/>
    <w:rsid w:val="00420308"/>
    <w:rsid w:val="00421583"/>
    <w:rsid w:val="00421C52"/>
    <w:rsid w:val="00422115"/>
    <w:rsid w:val="00422C8B"/>
    <w:rsid w:val="0042399E"/>
    <w:rsid w:val="00424A90"/>
    <w:rsid w:val="00426AB9"/>
    <w:rsid w:val="00426D02"/>
    <w:rsid w:val="004271CD"/>
    <w:rsid w:val="0043010B"/>
    <w:rsid w:val="0043108E"/>
    <w:rsid w:val="00431403"/>
    <w:rsid w:val="00432ACE"/>
    <w:rsid w:val="004343AD"/>
    <w:rsid w:val="004363B1"/>
    <w:rsid w:val="0043708B"/>
    <w:rsid w:val="004400DD"/>
    <w:rsid w:val="004409B2"/>
    <w:rsid w:val="0044117F"/>
    <w:rsid w:val="00441742"/>
    <w:rsid w:val="004431C0"/>
    <w:rsid w:val="0044333B"/>
    <w:rsid w:val="00443EAB"/>
    <w:rsid w:val="00444EB8"/>
    <w:rsid w:val="004466A4"/>
    <w:rsid w:val="0044683B"/>
    <w:rsid w:val="00446B63"/>
    <w:rsid w:val="00447624"/>
    <w:rsid w:val="00447C00"/>
    <w:rsid w:val="00450691"/>
    <w:rsid w:val="00451229"/>
    <w:rsid w:val="00451EA3"/>
    <w:rsid w:val="00452363"/>
    <w:rsid w:val="004528BD"/>
    <w:rsid w:val="00452964"/>
    <w:rsid w:val="00452D71"/>
    <w:rsid w:val="00453384"/>
    <w:rsid w:val="004533F6"/>
    <w:rsid w:val="0045434D"/>
    <w:rsid w:val="00455D64"/>
    <w:rsid w:val="004561BB"/>
    <w:rsid w:val="00456876"/>
    <w:rsid w:val="00457BC7"/>
    <w:rsid w:val="00462999"/>
    <w:rsid w:val="0046300B"/>
    <w:rsid w:val="00464D2F"/>
    <w:rsid w:val="00464DA6"/>
    <w:rsid w:val="00465695"/>
    <w:rsid w:val="004659B5"/>
    <w:rsid w:val="004665F3"/>
    <w:rsid w:val="004666F6"/>
    <w:rsid w:val="00466B16"/>
    <w:rsid w:val="00466BEB"/>
    <w:rsid w:val="004702CF"/>
    <w:rsid w:val="00470DD2"/>
    <w:rsid w:val="00472577"/>
    <w:rsid w:val="00474316"/>
    <w:rsid w:val="004744CE"/>
    <w:rsid w:val="0047584A"/>
    <w:rsid w:val="00476229"/>
    <w:rsid w:val="00476244"/>
    <w:rsid w:val="004810C3"/>
    <w:rsid w:val="00482377"/>
    <w:rsid w:val="0048358D"/>
    <w:rsid w:val="00484920"/>
    <w:rsid w:val="00485BDA"/>
    <w:rsid w:val="0048611A"/>
    <w:rsid w:val="00486410"/>
    <w:rsid w:val="004868E1"/>
    <w:rsid w:val="00486A4C"/>
    <w:rsid w:val="00490CAA"/>
    <w:rsid w:val="00492CEC"/>
    <w:rsid w:val="004931D5"/>
    <w:rsid w:val="004936D5"/>
    <w:rsid w:val="00495508"/>
    <w:rsid w:val="00497764"/>
    <w:rsid w:val="004A04A4"/>
    <w:rsid w:val="004A05F1"/>
    <w:rsid w:val="004A08E1"/>
    <w:rsid w:val="004A0E73"/>
    <w:rsid w:val="004A0FD3"/>
    <w:rsid w:val="004A3885"/>
    <w:rsid w:val="004A6892"/>
    <w:rsid w:val="004B0033"/>
    <w:rsid w:val="004B0284"/>
    <w:rsid w:val="004B0ACF"/>
    <w:rsid w:val="004B0C20"/>
    <w:rsid w:val="004B160F"/>
    <w:rsid w:val="004B17F7"/>
    <w:rsid w:val="004B1AAC"/>
    <w:rsid w:val="004B1CB3"/>
    <w:rsid w:val="004B2B1A"/>
    <w:rsid w:val="004B2E42"/>
    <w:rsid w:val="004B47E1"/>
    <w:rsid w:val="004B586D"/>
    <w:rsid w:val="004B5D92"/>
    <w:rsid w:val="004B6858"/>
    <w:rsid w:val="004B769F"/>
    <w:rsid w:val="004B78A9"/>
    <w:rsid w:val="004B7CE7"/>
    <w:rsid w:val="004C0415"/>
    <w:rsid w:val="004C0EAE"/>
    <w:rsid w:val="004C13F1"/>
    <w:rsid w:val="004C1C69"/>
    <w:rsid w:val="004C37F3"/>
    <w:rsid w:val="004C3897"/>
    <w:rsid w:val="004C3B00"/>
    <w:rsid w:val="004C5049"/>
    <w:rsid w:val="004C5DCE"/>
    <w:rsid w:val="004C619A"/>
    <w:rsid w:val="004C61D4"/>
    <w:rsid w:val="004C713A"/>
    <w:rsid w:val="004C71F9"/>
    <w:rsid w:val="004C7BF5"/>
    <w:rsid w:val="004C7CD3"/>
    <w:rsid w:val="004C7D9B"/>
    <w:rsid w:val="004D0274"/>
    <w:rsid w:val="004D09DF"/>
    <w:rsid w:val="004D0A44"/>
    <w:rsid w:val="004D0BEE"/>
    <w:rsid w:val="004D0FB5"/>
    <w:rsid w:val="004D194E"/>
    <w:rsid w:val="004D3AB7"/>
    <w:rsid w:val="004D44E8"/>
    <w:rsid w:val="004D5166"/>
    <w:rsid w:val="004D581C"/>
    <w:rsid w:val="004D6E66"/>
    <w:rsid w:val="004D7DDE"/>
    <w:rsid w:val="004E0CEB"/>
    <w:rsid w:val="004E1264"/>
    <w:rsid w:val="004E20F2"/>
    <w:rsid w:val="004E4DC7"/>
    <w:rsid w:val="004E5D28"/>
    <w:rsid w:val="004E6256"/>
    <w:rsid w:val="004F0662"/>
    <w:rsid w:val="004F1FC1"/>
    <w:rsid w:val="004F2BC8"/>
    <w:rsid w:val="004F2C5D"/>
    <w:rsid w:val="004F2E05"/>
    <w:rsid w:val="004F3828"/>
    <w:rsid w:val="004F416A"/>
    <w:rsid w:val="004F4176"/>
    <w:rsid w:val="004F5991"/>
    <w:rsid w:val="004F68A5"/>
    <w:rsid w:val="004F72CD"/>
    <w:rsid w:val="004F7765"/>
    <w:rsid w:val="0050011D"/>
    <w:rsid w:val="005003D7"/>
    <w:rsid w:val="0050070B"/>
    <w:rsid w:val="00500C20"/>
    <w:rsid w:val="00500EA9"/>
    <w:rsid w:val="00501127"/>
    <w:rsid w:val="005023A5"/>
    <w:rsid w:val="005032CA"/>
    <w:rsid w:val="005038E1"/>
    <w:rsid w:val="00503B6B"/>
    <w:rsid w:val="005040CF"/>
    <w:rsid w:val="00504B4B"/>
    <w:rsid w:val="00504F6E"/>
    <w:rsid w:val="00506177"/>
    <w:rsid w:val="00506993"/>
    <w:rsid w:val="00506BCA"/>
    <w:rsid w:val="00506F93"/>
    <w:rsid w:val="00507472"/>
    <w:rsid w:val="00507516"/>
    <w:rsid w:val="00507F96"/>
    <w:rsid w:val="00507F9E"/>
    <w:rsid w:val="005101BB"/>
    <w:rsid w:val="00510353"/>
    <w:rsid w:val="00510A67"/>
    <w:rsid w:val="00510CFE"/>
    <w:rsid w:val="00511ABD"/>
    <w:rsid w:val="00511D25"/>
    <w:rsid w:val="00513207"/>
    <w:rsid w:val="00513A1B"/>
    <w:rsid w:val="00513A54"/>
    <w:rsid w:val="00513B05"/>
    <w:rsid w:val="0051405B"/>
    <w:rsid w:val="0051405C"/>
    <w:rsid w:val="00514487"/>
    <w:rsid w:val="00514E88"/>
    <w:rsid w:val="005153AE"/>
    <w:rsid w:val="00515D19"/>
    <w:rsid w:val="00515F06"/>
    <w:rsid w:val="0051636C"/>
    <w:rsid w:val="00516955"/>
    <w:rsid w:val="005170EE"/>
    <w:rsid w:val="00517DE7"/>
    <w:rsid w:val="00522D48"/>
    <w:rsid w:val="00524128"/>
    <w:rsid w:val="00527282"/>
    <w:rsid w:val="005317D2"/>
    <w:rsid w:val="00531E5A"/>
    <w:rsid w:val="00532BD9"/>
    <w:rsid w:val="0053330A"/>
    <w:rsid w:val="00533755"/>
    <w:rsid w:val="00533F6B"/>
    <w:rsid w:val="00534190"/>
    <w:rsid w:val="00534679"/>
    <w:rsid w:val="005352D3"/>
    <w:rsid w:val="00536ECF"/>
    <w:rsid w:val="00537711"/>
    <w:rsid w:val="00540838"/>
    <w:rsid w:val="005416CB"/>
    <w:rsid w:val="00542512"/>
    <w:rsid w:val="00542A1E"/>
    <w:rsid w:val="00542E03"/>
    <w:rsid w:val="00543DE5"/>
    <w:rsid w:val="00543F6C"/>
    <w:rsid w:val="0054424B"/>
    <w:rsid w:val="00544823"/>
    <w:rsid w:val="0054498C"/>
    <w:rsid w:val="00546ECA"/>
    <w:rsid w:val="005478FC"/>
    <w:rsid w:val="0055131C"/>
    <w:rsid w:val="005513E8"/>
    <w:rsid w:val="00551B05"/>
    <w:rsid w:val="0055231E"/>
    <w:rsid w:val="00552983"/>
    <w:rsid w:val="00553029"/>
    <w:rsid w:val="00553B50"/>
    <w:rsid w:val="00554887"/>
    <w:rsid w:val="00554AA7"/>
    <w:rsid w:val="00555486"/>
    <w:rsid w:val="005554A2"/>
    <w:rsid w:val="0055584D"/>
    <w:rsid w:val="00556377"/>
    <w:rsid w:val="00556805"/>
    <w:rsid w:val="00557114"/>
    <w:rsid w:val="005571AE"/>
    <w:rsid w:val="005573CC"/>
    <w:rsid w:val="005600A0"/>
    <w:rsid w:val="00560CE4"/>
    <w:rsid w:val="00560E3D"/>
    <w:rsid w:val="00561364"/>
    <w:rsid w:val="00561DD4"/>
    <w:rsid w:val="0056216E"/>
    <w:rsid w:val="00563E71"/>
    <w:rsid w:val="0056447F"/>
    <w:rsid w:val="005645E6"/>
    <w:rsid w:val="00565DA7"/>
    <w:rsid w:val="005661BA"/>
    <w:rsid w:val="00566346"/>
    <w:rsid w:val="005663FC"/>
    <w:rsid w:val="00566487"/>
    <w:rsid w:val="005666C1"/>
    <w:rsid w:val="005702B2"/>
    <w:rsid w:val="00571584"/>
    <w:rsid w:val="00572670"/>
    <w:rsid w:val="005727C9"/>
    <w:rsid w:val="005738E0"/>
    <w:rsid w:val="005740E1"/>
    <w:rsid w:val="00574CEE"/>
    <w:rsid w:val="00574DB4"/>
    <w:rsid w:val="00575199"/>
    <w:rsid w:val="005763A5"/>
    <w:rsid w:val="005779A3"/>
    <w:rsid w:val="0058015E"/>
    <w:rsid w:val="00580B92"/>
    <w:rsid w:val="0058196A"/>
    <w:rsid w:val="00584274"/>
    <w:rsid w:val="005847ED"/>
    <w:rsid w:val="00585231"/>
    <w:rsid w:val="00586753"/>
    <w:rsid w:val="00586AA5"/>
    <w:rsid w:val="00586BBF"/>
    <w:rsid w:val="0058755D"/>
    <w:rsid w:val="005902F2"/>
    <w:rsid w:val="005913F4"/>
    <w:rsid w:val="00592287"/>
    <w:rsid w:val="005922A6"/>
    <w:rsid w:val="0059230E"/>
    <w:rsid w:val="00593A8E"/>
    <w:rsid w:val="005943DF"/>
    <w:rsid w:val="00595D15"/>
    <w:rsid w:val="005960BD"/>
    <w:rsid w:val="005962BB"/>
    <w:rsid w:val="00596390"/>
    <w:rsid w:val="0059677D"/>
    <w:rsid w:val="00597019"/>
    <w:rsid w:val="00597B05"/>
    <w:rsid w:val="005A081E"/>
    <w:rsid w:val="005A0AB2"/>
    <w:rsid w:val="005A2B11"/>
    <w:rsid w:val="005A4054"/>
    <w:rsid w:val="005A4AC9"/>
    <w:rsid w:val="005A4D58"/>
    <w:rsid w:val="005A69D1"/>
    <w:rsid w:val="005A732E"/>
    <w:rsid w:val="005A7F25"/>
    <w:rsid w:val="005B0E70"/>
    <w:rsid w:val="005B17CB"/>
    <w:rsid w:val="005B292D"/>
    <w:rsid w:val="005B344B"/>
    <w:rsid w:val="005B37F6"/>
    <w:rsid w:val="005B4E0B"/>
    <w:rsid w:val="005B588E"/>
    <w:rsid w:val="005B5C2C"/>
    <w:rsid w:val="005C18B3"/>
    <w:rsid w:val="005C1C82"/>
    <w:rsid w:val="005C1D7C"/>
    <w:rsid w:val="005C1DE9"/>
    <w:rsid w:val="005C1EE0"/>
    <w:rsid w:val="005C2E95"/>
    <w:rsid w:val="005C36BD"/>
    <w:rsid w:val="005C4026"/>
    <w:rsid w:val="005C4D21"/>
    <w:rsid w:val="005C5063"/>
    <w:rsid w:val="005C5231"/>
    <w:rsid w:val="005C79B0"/>
    <w:rsid w:val="005C7CD3"/>
    <w:rsid w:val="005D0EA0"/>
    <w:rsid w:val="005D19E8"/>
    <w:rsid w:val="005D2068"/>
    <w:rsid w:val="005D2C54"/>
    <w:rsid w:val="005D3050"/>
    <w:rsid w:val="005D358A"/>
    <w:rsid w:val="005D3A73"/>
    <w:rsid w:val="005D513F"/>
    <w:rsid w:val="005D6406"/>
    <w:rsid w:val="005D7075"/>
    <w:rsid w:val="005D7EC5"/>
    <w:rsid w:val="005E09C4"/>
    <w:rsid w:val="005E1F86"/>
    <w:rsid w:val="005E279F"/>
    <w:rsid w:val="005E30FB"/>
    <w:rsid w:val="005E39D6"/>
    <w:rsid w:val="005E4A21"/>
    <w:rsid w:val="005E51A9"/>
    <w:rsid w:val="005E57AF"/>
    <w:rsid w:val="005E74AB"/>
    <w:rsid w:val="005E7667"/>
    <w:rsid w:val="005E76FC"/>
    <w:rsid w:val="005E7F65"/>
    <w:rsid w:val="005F049F"/>
    <w:rsid w:val="005F051A"/>
    <w:rsid w:val="005F2CC3"/>
    <w:rsid w:val="005F343C"/>
    <w:rsid w:val="005F4B57"/>
    <w:rsid w:val="005F4ECE"/>
    <w:rsid w:val="005F52BD"/>
    <w:rsid w:val="005F5DBD"/>
    <w:rsid w:val="005F6123"/>
    <w:rsid w:val="005F61B7"/>
    <w:rsid w:val="005F620C"/>
    <w:rsid w:val="005F630C"/>
    <w:rsid w:val="005F6CA7"/>
    <w:rsid w:val="005F6DB8"/>
    <w:rsid w:val="006000D6"/>
    <w:rsid w:val="00600FA4"/>
    <w:rsid w:val="006022F4"/>
    <w:rsid w:val="006028A9"/>
    <w:rsid w:val="006031F3"/>
    <w:rsid w:val="00603C52"/>
    <w:rsid w:val="00604080"/>
    <w:rsid w:val="00604675"/>
    <w:rsid w:val="00604AA6"/>
    <w:rsid w:val="00604CB7"/>
    <w:rsid w:val="00605522"/>
    <w:rsid w:val="00605980"/>
    <w:rsid w:val="00605F27"/>
    <w:rsid w:val="0060712D"/>
    <w:rsid w:val="006077BB"/>
    <w:rsid w:val="0061079B"/>
    <w:rsid w:val="006110A9"/>
    <w:rsid w:val="0061280C"/>
    <w:rsid w:val="0061283E"/>
    <w:rsid w:val="00612D6F"/>
    <w:rsid w:val="00613025"/>
    <w:rsid w:val="00613E89"/>
    <w:rsid w:val="00614E3D"/>
    <w:rsid w:val="006157B1"/>
    <w:rsid w:val="0061588D"/>
    <w:rsid w:val="00615A87"/>
    <w:rsid w:val="00615EEC"/>
    <w:rsid w:val="006168F3"/>
    <w:rsid w:val="00617384"/>
    <w:rsid w:val="0061745D"/>
    <w:rsid w:val="0062156A"/>
    <w:rsid w:val="00621F4F"/>
    <w:rsid w:val="006223E6"/>
    <w:rsid w:val="006227B3"/>
    <w:rsid w:val="00623702"/>
    <w:rsid w:val="00624015"/>
    <w:rsid w:val="00624140"/>
    <w:rsid w:val="0062580F"/>
    <w:rsid w:val="00626E97"/>
    <w:rsid w:val="00630B09"/>
    <w:rsid w:val="006310BE"/>
    <w:rsid w:val="0063185C"/>
    <w:rsid w:val="00631A6B"/>
    <w:rsid w:val="00634315"/>
    <w:rsid w:val="0063432F"/>
    <w:rsid w:val="00634B84"/>
    <w:rsid w:val="00637A37"/>
    <w:rsid w:val="00637EAD"/>
    <w:rsid w:val="00640144"/>
    <w:rsid w:val="00642395"/>
    <w:rsid w:val="00642A63"/>
    <w:rsid w:val="00643FDB"/>
    <w:rsid w:val="0064408D"/>
    <w:rsid w:val="0064409A"/>
    <w:rsid w:val="0064480A"/>
    <w:rsid w:val="0064496D"/>
    <w:rsid w:val="00644997"/>
    <w:rsid w:val="00644C0B"/>
    <w:rsid w:val="00644E8E"/>
    <w:rsid w:val="00645C3E"/>
    <w:rsid w:val="00647A5F"/>
    <w:rsid w:val="00647BC9"/>
    <w:rsid w:val="00651729"/>
    <w:rsid w:val="00651C45"/>
    <w:rsid w:val="00653388"/>
    <w:rsid w:val="00653B4B"/>
    <w:rsid w:val="00653C1B"/>
    <w:rsid w:val="00654887"/>
    <w:rsid w:val="00655654"/>
    <w:rsid w:val="006557EF"/>
    <w:rsid w:val="00655DCF"/>
    <w:rsid w:val="00656118"/>
    <w:rsid w:val="0065658D"/>
    <w:rsid w:val="00661668"/>
    <w:rsid w:val="00663181"/>
    <w:rsid w:val="006637FD"/>
    <w:rsid w:val="006638B5"/>
    <w:rsid w:val="00663A73"/>
    <w:rsid w:val="00663AC1"/>
    <w:rsid w:val="00664D29"/>
    <w:rsid w:val="00665B96"/>
    <w:rsid w:val="00670829"/>
    <w:rsid w:val="00671563"/>
    <w:rsid w:val="0067162F"/>
    <w:rsid w:val="00671F28"/>
    <w:rsid w:val="0067226F"/>
    <w:rsid w:val="006726B0"/>
    <w:rsid w:val="00672912"/>
    <w:rsid w:val="0067489E"/>
    <w:rsid w:val="00675368"/>
    <w:rsid w:val="00676CEB"/>
    <w:rsid w:val="006775E5"/>
    <w:rsid w:val="00677E51"/>
    <w:rsid w:val="00680736"/>
    <w:rsid w:val="00680D6B"/>
    <w:rsid w:val="00680DD3"/>
    <w:rsid w:val="00682D81"/>
    <w:rsid w:val="0068397B"/>
    <w:rsid w:val="0068567B"/>
    <w:rsid w:val="00685C7C"/>
    <w:rsid w:val="00685C84"/>
    <w:rsid w:val="00686268"/>
    <w:rsid w:val="00687CB0"/>
    <w:rsid w:val="00690135"/>
    <w:rsid w:val="00690C8F"/>
    <w:rsid w:val="006917C7"/>
    <w:rsid w:val="006924E7"/>
    <w:rsid w:val="006927BA"/>
    <w:rsid w:val="0069356C"/>
    <w:rsid w:val="00693822"/>
    <w:rsid w:val="0069449E"/>
    <w:rsid w:val="00694665"/>
    <w:rsid w:val="00694997"/>
    <w:rsid w:val="00694E2E"/>
    <w:rsid w:val="0069516C"/>
    <w:rsid w:val="006951BD"/>
    <w:rsid w:val="00696159"/>
    <w:rsid w:val="006A2ADA"/>
    <w:rsid w:val="006A2B2B"/>
    <w:rsid w:val="006A3534"/>
    <w:rsid w:val="006A3567"/>
    <w:rsid w:val="006A3716"/>
    <w:rsid w:val="006A4A8D"/>
    <w:rsid w:val="006A4CA2"/>
    <w:rsid w:val="006A585E"/>
    <w:rsid w:val="006A58DF"/>
    <w:rsid w:val="006B105F"/>
    <w:rsid w:val="006B1152"/>
    <w:rsid w:val="006B3204"/>
    <w:rsid w:val="006B329D"/>
    <w:rsid w:val="006B36AE"/>
    <w:rsid w:val="006B524D"/>
    <w:rsid w:val="006B5958"/>
    <w:rsid w:val="006B61A2"/>
    <w:rsid w:val="006B6FBE"/>
    <w:rsid w:val="006C0EE3"/>
    <w:rsid w:val="006C2188"/>
    <w:rsid w:val="006C301C"/>
    <w:rsid w:val="006C3C38"/>
    <w:rsid w:val="006C464D"/>
    <w:rsid w:val="006C4F11"/>
    <w:rsid w:val="006C6155"/>
    <w:rsid w:val="006C64D2"/>
    <w:rsid w:val="006C706A"/>
    <w:rsid w:val="006C748D"/>
    <w:rsid w:val="006C7C41"/>
    <w:rsid w:val="006C7ECA"/>
    <w:rsid w:val="006D0F3E"/>
    <w:rsid w:val="006D1D4D"/>
    <w:rsid w:val="006D2406"/>
    <w:rsid w:val="006D2759"/>
    <w:rsid w:val="006D305C"/>
    <w:rsid w:val="006D37F9"/>
    <w:rsid w:val="006D4A32"/>
    <w:rsid w:val="006D513A"/>
    <w:rsid w:val="006D53F1"/>
    <w:rsid w:val="006D5703"/>
    <w:rsid w:val="006D5A28"/>
    <w:rsid w:val="006D60CB"/>
    <w:rsid w:val="006D6DBF"/>
    <w:rsid w:val="006E02D1"/>
    <w:rsid w:val="006E0A9C"/>
    <w:rsid w:val="006E0F2F"/>
    <w:rsid w:val="006E2009"/>
    <w:rsid w:val="006E274D"/>
    <w:rsid w:val="006E32B3"/>
    <w:rsid w:val="006E379D"/>
    <w:rsid w:val="006E3B0C"/>
    <w:rsid w:val="006E4AEC"/>
    <w:rsid w:val="006E695F"/>
    <w:rsid w:val="006E70E6"/>
    <w:rsid w:val="006E76F1"/>
    <w:rsid w:val="006F17FB"/>
    <w:rsid w:val="006F185A"/>
    <w:rsid w:val="006F1C6A"/>
    <w:rsid w:val="006F1E78"/>
    <w:rsid w:val="006F1EE3"/>
    <w:rsid w:val="006F2C87"/>
    <w:rsid w:val="006F3885"/>
    <w:rsid w:val="006F4362"/>
    <w:rsid w:val="006F502F"/>
    <w:rsid w:val="006F5164"/>
    <w:rsid w:val="006F57AE"/>
    <w:rsid w:val="006F65EB"/>
    <w:rsid w:val="006F6F4C"/>
    <w:rsid w:val="006F79AC"/>
    <w:rsid w:val="007006EC"/>
    <w:rsid w:val="00701B20"/>
    <w:rsid w:val="00701C21"/>
    <w:rsid w:val="0070324D"/>
    <w:rsid w:val="00703BB6"/>
    <w:rsid w:val="007042F2"/>
    <w:rsid w:val="0070439E"/>
    <w:rsid w:val="00704578"/>
    <w:rsid w:val="00705471"/>
    <w:rsid w:val="00705E74"/>
    <w:rsid w:val="007064D6"/>
    <w:rsid w:val="00706BCA"/>
    <w:rsid w:val="007070D7"/>
    <w:rsid w:val="007071EB"/>
    <w:rsid w:val="00710D8F"/>
    <w:rsid w:val="00710DAA"/>
    <w:rsid w:val="0071192B"/>
    <w:rsid w:val="007132C1"/>
    <w:rsid w:val="0071350D"/>
    <w:rsid w:val="00713762"/>
    <w:rsid w:val="00714DAF"/>
    <w:rsid w:val="00714E76"/>
    <w:rsid w:val="00716198"/>
    <w:rsid w:val="007166DB"/>
    <w:rsid w:val="007171C1"/>
    <w:rsid w:val="00717A04"/>
    <w:rsid w:val="00717EC4"/>
    <w:rsid w:val="007201B3"/>
    <w:rsid w:val="0072033D"/>
    <w:rsid w:val="0072069E"/>
    <w:rsid w:val="00720D84"/>
    <w:rsid w:val="00722541"/>
    <w:rsid w:val="00722762"/>
    <w:rsid w:val="00723472"/>
    <w:rsid w:val="00723BD4"/>
    <w:rsid w:val="00724BC0"/>
    <w:rsid w:val="00725D64"/>
    <w:rsid w:val="0072691D"/>
    <w:rsid w:val="00726E35"/>
    <w:rsid w:val="0073143B"/>
    <w:rsid w:val="00731A2D"/>
    <w:rsid w:val="007329D7"/>
    <w:rsid w:val="00732AD8"/>
    <w:rsid w:val="00733385"/>
    <w:rsid w:val="0073372C"/>
    <w:rsid w:val="00733849"/>
    <w:rsid w:val="00734790"/>
    <w:rsid w:val="00735A6E"/>
    <w:rsid w:val="0073603D"/>
    <w:rsid w:val="00736910"/>
    <w:rsid w:val="00737D98"/>
    <w:rsid w:val="00740D46"/>
    <w:rsid w:val="007429D4"/>
    <w:rsid w:val="00743C0B"/>
    <w:rsid w:val="00743D5B"/>
    <w:rsid w:val="00744216"/>
    <w:rsid w:val="00744BAB"/>
    <w:rsid w:val="00744DED"/>
    <w:rsid w:val="0074546A"/>
    <w:rsid w:val="00746C56"/>
    <w:rsid w:val="00747492"/>
    <w:rsid w:val="0075048B"/>
    <w:rsid w:val="00750627"/>
    <w:rsid w:val="00750E4A"/>
    <w:rsid w:val="0075154B"/>
    <w:rsid w:val="00751AB7"/>
    <w:rsid w:val="00751ACA"/>
    <w:rsid w:val="007525CD"/>
    <w:rsid w:val="00752B29"/>
    <w:rsid w:val="00753957"/>
    <w:rsid w:val="00753E68"/>
    <w:rsid w:val="00753FAC"/>
    <w:rsid w:val="00755DF0"/>
    <w:rsid w:val="0075632C"/>
    <w:rsid w:val="007569BD"/>
    <w:rsid w:val="00756AB9"/>
    <w:rsid w:val="00756DC5"/>
    <w:rsid w:val="00757365"/>
    <w:rsid w:val="00757793"/>
    <w:rsid w:val="007607F6"/>
    <w:rsid w:val="00760A3F"/>
    <w:rsid w:val="00760F3A"/>
    <w:rsid w:val="007617F8"/>
    <w:rsid w:val="0076245E"/>
    <w:rsid w:val="00762D48"/>
    <w:rsid w:val="0076310C"/>
    <w:rsid w:val="007632F2"/>
    <w:rsid w:val="00763BDD"/>
    <w:rsid w:val="00764B63"/>
    <w:rsid w:val="00764FA8"/>
    <w:rsid w:val="0076507B"/>
    <w:rsid w:val="0076571B"/>
    <w:rsid w:val="00766976"/>
    <w:rsid w:val="00766C11"/>
    <w:rsid w:val="00766FAE"/>
    <w:rsid w:val="00767019"/>
    <w:rsid w:val="0076799B"/>
    <w:rsid w:val="007679EB"/>
    <w:rsid w:val="00770FD2"/>
    <w:rsid w:val="00770FEA"/>
    <w:rsid w:val="00772C2A"/>
    <w:rsid w:val="00772DD0"/>
    <w:rsid w:val="00772FC7"/>
    <w:rsid w:val="007738E3"/>
    <w:rsid w:val="00773C83"/>
    <w:rsid w:val="00774701"/>
    <w:rsid w:val="00774C93"/>
    <w:rsid w:val="00774CDA"/>
    <w:rsid w:val="00774DB1"/>
    <w:rsid w:val="00775BC3"/>
    <w:rsid w:val="00776582"/>
    <w:rsid w:val="00776779"/>
    <w:rsid w:val="007767CC"/>
    <w:rsid w:val="00777334"/>
    <w:rsid w:val="007801CC"/>
    <w:rsid w:val="0078116B"/>
    <w:rsid w:val="00781556"/>
    <w:rsid w:val="0078158E"/>
    <w:rsid w:val="00781AE0"/>
    <w:rsid w:val="00781B1B"/>
    <w:rsid w:val="00781BB1"/>
    <w:rsid w:val="00781D78"/>
    <w:rsid w:val="00781E8E"/>
    <w:rsid w:val="00782639"/>
    <w:rsid w:val="007830DF"/>
    <w:rsid w:val="0078328B"/>
    <w:rsid w:val="007834DE"/>
    <w:rsid w:val="0078351D"/>
    <w:rsid w:val="0078588D"/>
    <w:rsid w:val="00787632"/>
    <w:rsid w:val="00787C57"/>
    <w:rsid w:val="00787E63"/>
    <w:rsid w:val="00787EA3"/>
    <w:rsid w:val="00791B0D"/>
    <w:rsid w:val="00793F3F"/>
    <w:rsid w:val="007963A5"/>
    <w:rsid w:val="0079746D"/>
    <w:rsid w:val="00797D1B"/>
    <w:rsid w:val="007A0D48"/>
    <w:rsid w:val="007A104F"/>
    <w:rsid w:val="007A13D2"/>
    <w:rsid w:val="007A1E3F"/>
    <w:rsid w:val="007A1ED3"/>
    <w:rsid w:val="007A26AF"/>
    <w:rsid w:val="007A3F43"/>
    <w:rsid w:val="007A446A"/>
    <w:rsid w:val="007A649E"/>
    <w:rsid w:val="007A66DB"/>
    <w:rsid w:val="007A75CC"/>
    <w:rsid w:val="007A763D"/>
    <w:rsid w:val="007A7D1D"/>
    <w:rsid w:val="007B0B99"/>
    <w:rsid w:val="007B1584"/>
    <w:rsid w:val="007B2635"/>
    <w:rsid w:val="007B27D4"/>
    <w:rsid w:val="007B2F2B"/>
    <w:rsid w:val="007B3663"/>
    <w:rsid w:val="007B3B8F"/>
    <w:rsid w:val="007B3F09"/>
    <w:rsid w:val="007B44EB"/>
    <w:rsid w:val="007B4E4B"/>
    <w:rsid w:val="007B5430"/>
    <w:rsid w:val="007B600E"/>
    <w:rsid w:val="007C1CC3"/>
    <w:rsid w:val="007C2093"/>
    <w:rsid w:val="007C27AC"/>
    <w:rsid w:val="007C33CC"/>
    <w:rsid w:val="007C5410"/>
    <w:rsid w:val="007C6072"/>
    <w:rsid w:val="007C6135"/>
    <w:rsid w:val="007C62A3"/>
    <w:rsid w:val="007C783A"/>
    <w:rsid w:val="007D0627"/>
    <w:rsid w:val="007D07DF"/>
    <w:rsid w:val="007D0E8E"/>
    <w:rsid w:val="007D26A9"/>
    <w:rsid w:val="007D2AFD"/>
    <w:rsid w:val="007D350F"/>
    <w:rsid w:val="007D4F34"/>
    <w:rsid w:val="007D5A94"/>
    <w:rsid w:val="007D5EBA"/>
    <w:rsid w:val="007D6023"/>
    <w:rsid w:val="007D75E4"/>
    <w:rsid w:val="007E0A39"/>
    <w:rsid w:val="007E11A9"/>
    <w:rsid w:val="007E1311"/>
    <w:rsid w:val="007E15B1"/>
    <w:rsid w:val="007E264C"/>
    <w:rsid w:val="007E373F"/>
    <w:rsid w:val="007E4CAB"/>
    <w:rsid w:val="007E51C9"/>
    <w:rsid w:val="007E748C"/>
    <w:rsid w:val="007E79F2"/>
    <w:rsid w:val="007E7B7A"/>
    <w:rsid w:val="007F02DC"/>
    <w:rsid w:val="007F0DD7"/>
    <w:rsid w:val="007F13B1"/>
    <w:rsid w:val="007F13D6"/>
    <w:rsid w:val="007F2772"/>
    <w:rsid w:val="007F3659"/>
    <w:rsid w:val="007F3B26"/>
    <w:rsid w:val="007F46DF"/>
    <w:rsid w:val="007F4822"/>
    <w:rsid w:val="007F5588"/>
    <w:rsid w:val="007F597A"/>
    <w:rsid w:val="007F6718"/>
    <w:rsid w:val="00800F5C"/>
    <w:rsid w:val="008011F8"/>
    <w:rsid w:val="0080151E"/>
    <w:rsid w:val="0080159A"/>
    <w:rsid w:val="00802A35"/>
    <w:rsid w:val="00802D61"/>
    <w:rsid w:val="00803022"/>
    <w:rsid w:val="0080589E"/>
    <w:rsid w:val="00806042"/>
    <w:rsid w:val="008067A0"/>
    <w:rsid w:val="0080689B"/>
    <w:rsid w:val="00810126"/>
    <w:rsid w:val="0081071A"/>
    <w:rsid w:val="00810EAC"/>
    <w:rsid w:val="0081160B"/>
    <w:rsid w:val="0081287F"/>
    <w:rsid w:val="00812D1D"/>
    <w:rsid w:val="00813979"/>
    <w:rsid w:val="00817001"/>
    <w:rsid w:val="00817911"/>
    <w:rsid w:val="008219AF"/>
    <w:rsid w:val="0082214A"/>
    <w:rsid w:val="008223AB"/>
    <w:rsid w:val="00823B13"/>
    <w:rsid w:val="00824F4B"/>
    <w:rsid w:val="00825101"/>
    <w:rsid w:val="008254B6"/>
    <w:rsid w:val="00826A08"/>
    <w:rsid w:val="00827364"/>
    <w:rsid w:val="008275E7"/>
    <w:rsid w:val="008307D4"/>
    <w:rsid w:val="00830A32"/>
    <w:rsid w:val="00830A91"/>
    <w:rsid w:val="00832184"/>
    <w:rsid w:val="00833F77"/>
    <w:rsid w:val="00835BE7"/>
    <w:rsid w:val="00836474"/>
    <w:rsid w:val="0083776B"/>
    <w:rsid w:val="0084239F"/>
    <w:rsid w:val="00842457"/>
    <w:rsid w:val="00842471"/>
    <w:rsid w:val="008432AC"/>
    <w:rsid w:val="0084369C"/>
    <w:rsid w:val="008436CD"/>
    <w:rsid w:val="008438C1"/>
    <w:rsid w:val="008439D4"/>
    <w:rsid w:val="00843F77"/>
    <w:rsid w:val="0084446A"/>
    <w:rsid w:val="0084705F"/>
    <w:rsid w:val="0084761C"/>
    <w:rsid w:val="008520FA"/>
    <w:rsid w:val="008524C8"/>
    <w:rsid w:val="00852FC1"/>
    <w:rsid w:val="00853516"/>
    <w:rsid w:val="008542D1"/>
    <w:rsid w:val="00854DC6"/>
    <w:rsid w:val="00856529"/>
    <w:rsid w:val="00856AB2"/>
    <w:rsid w:val="008578D6"/>
    <w:rsid w:val="00860058"/>
    <w:rsid w:val="008604B0"/>
    <w:rsid w:val="00861362"/>
    <w:rsid w:val="008614DB"/>
    <w:rsid w:val="00862E1F"/>
    <w:rsid w:val="00863EB1"/>
    <w:rsid w:val="008645CB"/>
    <w:rsid w:val="00864850"/>
    <w:rsid w:val="00865163"/>
    <w:rsid w:val="008651B3"/>
    <w:rsid w:val="008655D7"/>
    <w:rsid w:val="0086561B"/>
    <w:rsid w:val="00866B50"/>
    <w:rsid w:val="00867A3C"/>
    <w:rsid w:val="00867C98"/>
    <w:rsid w:val="00867DFD"/>
    <w:rsid w:val="00870D3B"/>
    <w:rsid w:val="008722E6"/>
    <w:rsid w:val="00873D03"/>
    <w:rsid w:val="00874587"/>
    <w:rsid w:val="00875905"/>
    <w:rsid w:val="00876093"/>
    <w:rsid w:val="00876E30"/>
    <w:rsid w:val="00877776"/>
    <w:rsid w:val="00877973"/>
    <w:rsid w:val="008802D1"/>
    <w:rsid w:val="00880300"/>
    <w:rsid w:val="0088032A"/>
    <w:rsid w:val="008807E1"/>
    <w:rsid w:val="00882627"/>
    <w:rsid w:val="0088328D"/>
    <w:rsid w:val="00884C46"/>
    <w:rsid w:val="008850B9"/>
    <w:rsid w:val="00885C80"/>
    <w:rsid w:val="00886492"/>
    <w:rsid w:val="00886D63"/>
    <w:rsid w:val="00886F0C"/>
    <w:rsid w:val="00886FE5"/>
    <w:rsid w:val="00887714"/>
    <w:rsid w:val="00887EAA"/>
    <w:rsid w:val="00890F05"/>
    <w:rsid w:val="00891C57"/>
    <w:rsid w:val="00892B04"/>
    <w:rsid w:val="00892D77"/>
    <w:rsid w:val="00892E4A"/>
    <w:rsid w:val="00894361"/>
    <w:rsid w:val="008950D8"/>
    <w:rsid w:val="008955A1"/>
    <w:rsid w:val="008958FC"/>
    <w:rsid w:val="008972EB"/>
    <w:rsid w:val="00897B88"/>
    <w:rsid w:val="008A0527"/>
    <w:rsid w:val="008A10B9"/>
    <w:rsid w:val="008A1D6F"/>
    <w:rsid w:val="008A20CA"/>
    <w:rsid w:val="008A2DB5"/>
    <w:rsid w:val="008A34CC"/>
    <w:rsid w:val="008A38C3"/>
    <w:rsid w:val="008A4D9C"/>
    <w:rsid w:val="008A643E"/>
    <w:rsid w:val="008A7006"/>
    <w:rsid w:val="008A7596"/>
    <w:rsid w:val="008A7652"/>
    <w:rsid w:val="008A7882"/>
    <w:rsid w:val="008A7BE3"/>
    <w:rsid w:val="008A7E6E"/>
    <w:rsid w:val="008B0239"/>
    <w:rsid w:val="008B146C"/>
    <w:rsid w:val="008B1FD0"/>
    <w:rsid w:val="008B2F22"/>
    <w:rsid w:val="008B5DE9"/>
    <w:rsid w:val="008B5F94"/>
    <w:rsid w:val="008B74FE"/>
    <w:rsid w:val="008B7784"/>
    <w:rsid w:val="008B79CE"/>
    <w:rsid w:val="008C2B67"/>
    <w:rsid w:val="008C38B4"/>
    <w:rsid w:val="008C4265"/>
    <w:rsid w:val="008C577C"/>
    <w:rsid w:val="008C7ADB"/>
    <w:rsid w:val="008D0994"/>
    <w:rsid w:val="008D1357"/>
    <w:rsid w:val="008D13C6"/>
    <w:rsid w:val="008D1DB2"/>
    <w:rsid w:val="008D1E2B"/>
    <w:rsid w:val="008D212C"/>
    <w:rsid w:val="008D2B03"/>
    <w:rsid w:val="008D3308"/>
    <w:rsid w:val="008D3B61"/>
    <w:rsid w:val="008D407D"/>
    <w:rsid w:val="008D41A1"/>
    <w:rsid w:val="008D460C"/>
    <w:rsid w:val="008D49A1"/>
    <w:rsid w:val="008D49FB"/>
    <w:rsid w:val="008D545F"/>
    <w:rsid w:val="008D5FB2"/>
    <w:rsid w:val="008D65A2"/>
    <w:rsid w:val="008D6B3A"/>
    <w:rsid w:val="008D71C1"/>
    <w:rsid w:val="008D723C"/>
    <w:rsid w:val="008D7358"/>
    <w:rsid w:val="008D7B25"/>
    <w:rsid w:val="008E0CFF"/>
    <w:rsid w:val="008E181F"/>
    <w:rsid w:val="008E1B7B"/>
    <w:rsid w:val="008E32C6"/>
    <w:rsid w:val="008E381D"/>
    <w:rsid w:val="008E39E2"/>
    <w:rsid w:val="008E3E9A"/>
    <w:rsid w:val="008E4834"/>
    <w:rsid w:val="008E4A1C"/>
    <w:rsid w:val="008E6588"/>
    <w:rsid w:val="008E65C1"/>
    <w:rsid w:val="008F08BB"/>
    <w:rsid w:val="008F20F9"/>
    <w:rsid w:val="008F2CD2"/>
    <w:rsid w:val="008F2FDE"/>
    <w:rsid w:val="008F3832"/>
    <w:rsid w:val="008F40BE"/>
    <w:rsid w:val="008F5517"/>
    <w:rsid w:val="008F5823"/>
    <w:rsid w:val="008F5DDB"/>
    <w:rsid w:val="008F649A"/>
    <w:rsid w:val="008F6D9B"/>
    <w:rsid w:val="008F7D08"/>
    <w:rsid w:val="009007F5"/>
    <w:rsid w:val="0090145F"/>
    <w:rsid w:val="00901854"/>
    <w:rsid w:val="0090328E"/>
    <w:rsid w:val="009044EC"/>
    <w:rsid w:val="009048C3"/>
    <w:rsid w:val="009052A1"/>
    <w:rsid w:val="009062B9"/>
    <w:rsid w:val="009063DB"/>
    <w:rsid w:val="00906697"/>
    <w:rsid w:val="00906DA4"/>
    <w:rsid w:val="00911415"/>
    <w:rsid w:val="00911544"/>
    <w:rsid w:val="00911A12"/>
    <w:rsid w:val="00912C4E"/>
    <w:rsid w:val="0091358F"/>
    <w:rsid w:val="00913EBC"/>
    <w:rsid w:val="00914434"/>
    <w:rsid w:val="00914FE6"/>
    <w:rsid w:val="00915283"/>
    <w:rsid w:val="009153DA"/>
    <w:rsid w:val="00915776"/>
    <w:rsid w:val="00915E7D"/>
    <w:rsid w:val="0091604F"/>
    <w:rsid w:val="00917D20"/>
    <w:rsid w:val="00917F0F"/>
    <w:rsid w:val="009205DC"/>
    <w:rsid w:val="00920967"/>
    <w:rsid w:val="009216F1"/>
    <w:rsid w:val="009216F2"/>
    <w:rsid w:val="009217BA"/>
    <w:rsid w:val="009221CD"/>
    <w:rsid w:val="00922A02"/>
    <w:rsid w:val="00923B5A"/>
    <w:rsid w:val="0092655B"/>
    <w:rsid w:val="00926FB0"/>
    <w:rsid w:val="009270ED"/>
    <w:rsid w:val="00927469"/>
    <w:rsid w:val="009278D0"/>
    <w:rsid w:val="00927A0E"/>
    <w:rsid w:val="00927D37"/>
    <w:rsid w:val="00930BCC"/>
    <w:rsid w:val="00931434"/>
    <w:rsid w:val="0093172B"/>
    <w:rsid w:val="00931860"/>
    <w:rsid w:val="00932539"/>
    <w:rsid w:val="009325D2"/>
    <w:rsid w:val="009352B1"/>
    <w:rsid w:val="00935560"/>
    <w:rsid w:val="00935C11"/>
    <w:rsid w:val="00935EA2"/>
    <w:rsid w:val="009365D1"/>
    <w:rsid w:val="00937BE5"/>
    <w:rsid w:val="00940573"/>
    <w:rsid w:val="00940766"/>
    <w:rsid w:val="00941418"/>
    <w:rsid w:val="00941CB6"/>
    <w:rsid w:val="00942A43"/>
    <w:rsid w:val="009438C7"/>
    <w:rsid w:val="009439FD"/>
    <w:rsid w:val="00943BDE"/>
    <w:rsid w:val="00943EF5"/>
    <w:rsid w:val="00944E70"/>
    <w:rsid w:val="009454AD"/>
    <w:rsid w:val="009456AC"/>
    <w:rsid w:val="00945E8B"/>
    <w:rsid w:val="009463CD"/>
    <w:rsid w:val="00946DB8"/>
    <w:rsid w:val="00950CF4"/>
    <w:rsid w:val="00951C62"/>
    <w:rsid w:val="00951EE2"/>
    <w:rsid w:val="009533BF"/>
    <w:rsid w:val="009538C9"/>
    <w:rsid w:val="009546D8"/>
    <w:rsid w:val="00954C1A"/>
    <w:rsid w:val="00955551"/>
    <w:rsid w:val="0095559A"/>
    <w:rsid w:val="00955753"/>
    <w:rsid w:val="0095607C"/>
    <w:rsid w:val="009560D5"/>
    <w:rsid w:val="00956A14"/>
    <w:rsid w:val="00957219"/>
    <w:rsid w:val="00957F01"/>
    <w:rsid w:val="00961EDC"/>
    <w:rsid w:val="00962342"/>
    <w:rsid w:val="009632BB"/>
    <w:rsid w:val="00964BC6"/>
    <w:rsid w:val="00964D52"/>
    <w:rsid w:val="0096555F"/>
    <w:rsid w:val="00966172"/>
    <w:rsid w:val="009673DC"/>
    <w:rsid w:val="0096793C"/>
    <w:rsid w:val="00967DAF"/>
    <w:rsid w:val="00970666"/>
    <w:rsid w:val="00971493"/>
    <w:rsid w:val="0097186D"/>
    <w:rsid w:val="00971877"/>
    <w:rsid w:val="00971CF0"/>
    <w:rsid w:val="00971F87"/>
    <w:rsid w:val="00975889"/>
    <w:rsid w:val="00975D6C"/>
    <w:rsid w:val="009764FE"/>
    <w:rsid w:val="009768A5"/>
    <w:rsid w:val="00976CF0"/>
    <w:rsid w:val="00976EA0"/>
    <w:rsid w:val="00980E1C"/>
    <w:rsid w:val="009817DD"/>
    <w:rsid w:val="00981983"/>
    <w:rsid w:val="00983C7A"/>
    <w:rsid w:val="00983F2E"/>
    <w:rsid w:val="0098410E"/>
    <w:rsid w:val="00985F5A"/>
    <w:rsid w:val="00985FDF"/>
    <w:rsid w:val="00986362"/>
    <w:rsid w:val="00986D91"/>
    <w:rsid w:val="0098788C"/>
    <w:rsid w:val="00990EB9"/>
    <w:rsid w:val="009912C3"/>
    <w:rsid w:val="009914E8"/>
    <w:rsid w:val="009919CF"/>
    <w:rsid w:val="00991AA3"/>
    <w:rsid w:val="0099261D"/>
    <w:rsid w:val="009933C8"/>
    <w:rsid w:val="00993C87"/>
    <w:rsid w:val="00994FA3"/>
    <w:rsid w:val="00995340"/>
    <w:rsid w:val="00995664"/>
    <w:rsid w:val="00997781"/>
    <w:rsid w:val="009A0044"/>
    <w:rsid w:val="009A1AD6"/>
    <w:rsid w:val="009A1E90"/>
    <w:rsid w:val="009A2DB0"/>
    <w:rsid w:val="009A34DA"/>
    <w:rsid w:val="009A3A34"/>
    <w:rsid w:val="009A3C5D"/>
    <w:rsid w:val="009A4634"/>
    <w:rsid w:val="009A4ED2"/>
    <w:rsid w:val="009A629D"/>
    <w:rsid w:val="009A7DED"/>
    <w:rsid w:val="009B0C5B"/>
    <w:rsid w:val="009B188E"/>
    <w:rsid w:val="009B2587"/>
    <w:rsid w:val="009B2872"/>
    <w:rsid w:val="009B3067"/>
    <w:rsid w:val="009B42C5"/>
    <w:rsid w:val="009B53C6"/>
    <w:rsid w:val="009B773A"/>
    <w:rsid w:val="009B77BD"/>
    <w:rsid w:val="009B7A9B"/>
    <w:rsid w:val="009C0110"/>
    <w:rsid w:val="009C1E2A"/>
    <w:rsid w:val="009C2766"/>
    <w:rsid w:val="009C2EAC"/>
    <w:rsid w:val="009C3455"/>
    <w:rsid w:val="009C354B"/>
    <w:rsid w:val="009C3CE3"/>
    <w:rsid w:val="009C3EAC"/>
    <w:rsid w:val="009C47A0"/>
    <w:rsid w:val="009C4A52"/>
    <w:rsid w:val="009C58C7"/>
    <w:rsid w:val="009C59DF"/>
    <w:rsid w:val="009C7286"/>
    <w:rsid w:val="009D01AE"/>
    <w:rsid w:val="009D03F5"/>
    <w:rsid w:val="009D04BA"/>
    <w:rsid w:val="009D0816"/>
    <w:rsid w:val="009D0C31"/>
    <w:rsid w:val="009D152A"/>
    <w:rsid w:val="009D1B7B"/>
    <w:rsid w:val="009D280C"/>
    <w:rsid w:val="009D4449"/>
    <w:rsid w:val="009D461F"/>
    <w:rsid w:val="009D4954"/>
    <w:rsid w:val="009D51AC"/>
    <w:rsid w:val="009D5773"/>
    <w:rsid w:val="009D6894"/>
    <w:rsid w:val="009D780F"/>
    <w:rsid w:val="009D7EF9"/>
    <w:rsid w:val="009E056F"/>
    <w:rsid w:val="009E16BB"/>
    <w:rsid w:val="009E2119"/>
    <w:rsid w:val="009E24EF"/>
    <w:rsid w:val="009E2DD0"/>
    <w:rsid w:val="009E3168"/>
    <w:rsid w:val="009E3B2C"/>
    <w:rsid w:val="009E5D27"/>
    <w:rsid w:val="009E5D30"/>
    <w:rsid w:val="009E7443"/>
    <w:rsid w:val="009E7D23"/>
    <w:rsid w:val="009F06D1"/>
    <w:rsid w:val="009F10DB"/>
    <w:rsid w:val="009F3D48"/>
    <w:rsid w:val="009F4E7C"/>
    <w:rsid w:val="009F57E8"/>
    <w:rsid w:val="009F5C87"/>
    <w:rsid w:val="009F76B1"/>
    <w:rsid w:val="009F799B"/>
    <w:rsid w:val="009F7C9D"/>
    <w:rsid w:val="009F7DC0"/>
    <w:rsid w:val="00A0095B"/>
    <w:rsid w:val="00A0110F"/>
    <w:rsid w:val="00A0384E"/>
    <w:rsid w:val="00A03886"/>
    <w:rsid w:val="00A03891"/>
    <w:rsid w:val="00A04434"/>
    <w:rsid w:val="00A0508B"/>
    <w:rsid w:val="00A05F3F"/>
    <w:rsid w:val="00A06559"/>
    <w:rsid w:val="00A07ACC"/>
    <w:rsid w:val="00A10168"/>
    <w:rsid w:val="00A10356"/>
    <w:rsid w:val="00A112DA"/>
    <w:rsid w:val="00A11782"/>
    <w:rsid w:val="00A1183B"/>
    <w:rsid w:val="00A121CC"/>
    <w:rsid w:val="00A12321"/>
    <w:rsid w:val="00A13E4C"/>
    <w:rsid w:val="00A1541A"/>
    <w:rsid w:val="00A163A2"/>
    <w:rsid w:val="00A1724D"/>
    <w:rsid w:val="00A17577"/>
    <w:rsid w:val="00A17E45"/>
    <w:rsid w:val="00A20605"/>
    <w:rsid w:val="00A21D80"/>
    <w:rsid w:val="00A22614"/>
    <w:rsid w:val="00A22D6C"/>
    <w:rsid w:val="00A241A3"/>
    <w:rsid w:val="00A24293"/>
    <w:rsid w:val="00A24FC2"/>
    <w:rsid w:val="00A25912"/>
    <w:rsid w:val="00A2750C"/>
    <w:rsid w:val="00A27ECD"/>
    <w:rsid w:val="00A31079"/>
    <w:rsid w:val="00A3240D"/>
    <w:rsid w:val="00A32EE7"/>
    <w:rsid w:val="00A330E7"/>
    <w:rsid w:val="00A334C6"/>
    <w:rsid w:val="00A33614"/>
    <w:rsid w:val="00A345FB"/>
    <w:rsid w:val="00A348CB"/>
    <w:rsid w:val="00A36388"/>
    <w:rsid w:val="00A36B72"/>
    <w:rsid w:val="00A36D90"/>
    <w:rsid w:val="00A3741C"/>
    <w:rsid w:val="00A3792E"/>
    <w:rsid w:val="00A4030E"/>
    <w:rsid w:val="00A43361"/>
    <w:rsid w:val="00A44EE1"/>
    <w:rsid w:val="00A45DB2"/>
    <w:rsid w:val="00A46C97"/>
    <w:rsid w:val="00A46CE4"/>
    <w:rsid w:val="00A473DF"/>
    <w:rsid w:val="00A47E45"/>
    <w:rsid w:val="00A50CF6"/>
    <w:rsid w:val="00A51606"/>
    <w:rsid w:val="00A51F00"/>
    <w:rsid w:val="00A52430"/>
    <w:rsid w:val="00A548BF"/>
    <w:rsid w:val="00A564AD"/>
    <w:rsid w:val="00A579F3"/>
    <w:rsid w:val="00A57E02"/>
    <w:rsid w:val="00A57F66"/>
    <w:rsid w:val="00A6016A"/>
    <w:rsid w:val="00A602A7"/>
    <w:rsid w:val="00A60513"/>
    <w:rsid w:val="00A607C1"/>
    <w:rsid w:val="00A60F71"/>
    <w:rsid w:val="00A6114D"/>
    <w:rsid w:val="00A6147B"/>
    <w:rsid w:val="00A63786"/>
    <w:rsid w:val="00A639FE"/>
    <w:rsid w:val="00A63F07"/>
    <w:rsid w:val="00A650D8"/>
    <w:rsid w:val="00A65A77"/>
    <w:rsid w:val="00A665CF"/>
    <w:rsid w:val="00A66D9C"/>
    <w:rsid w:val="00A70FA6"/>
    <w:rsid w:val="00A70FF1"/>
    <w:rsid w:val="00A71416"/>
    <w:rsid w:val="00A72819"/>
    <w:rsid w:val="00A72B78"/>
    <w:rsid w:val="00A72E73"/>
    <w:rsid w:val="00A72F34"/>
    <w:rsid w:val="00A73D15"/>
    <w:rsid w:val="00A73E54"/>
    <w:rsid w:val="00A751F0"/>
    <w:rsid w:val="00A75354"/>
    <w:rsid w:val="00A7575D"/>
    <w:rsid w:val="00A761F9"/>
    <w:rsid w:val="00A769DA"/>
    <w:rsid w:val="00A76D4F"/>
    <w:rsid w:val="00A76D6F"/>
    <w:rsid w:val="00A7721D"/>
    <w:rsid w:val="00A77926"/>
    <w:rsid w:val="00A77BA5"/>
    <w:rsid w:val="00A8016B"/>
    <w:rsid w:val="00A80264"/>
    <w:rsid w:val="00A818B2"/>
    <w:rsid w:val="00A81D74"/>
    <w:rsid w:val="00A846C9"/>
    <w:rsid w:val="00A84883"/>
    <w:rsid w:val="00A84FBE"/>
    <w:rsid w:val="00A862BD"/>
    <w:rsid w:val="00A87099"/>
    <w:rsid w:val="00A87692"/>
    <w:rsid w:val="00A879BD"/>
    <w:rsid w:val="00A90D5E"/>
    <w:rsid w:val="00A90D78"/>
    <w:rsid w:val="00A91816"/>
    <w:rsid w:val="00A92728"/>
    <w:rsid w:val="00A936FA"/>
    <w:rsid w:val="00A93F3F"/>
    <w:rsid w:val="00A94E62"/>
    <w:rsid w:val="00A950F7"/>
    <w:rsid w:val="00A95E2A"/>
    <w:rsid w:val="00A95EDF"/>
    <w:rsid w:val="00A968BE"/>
    <w:rsid w:val="00A97E03"/>
    <w:rsid w:val="00AA149B"/>
    <w:rsid w:val="00AA14F3"/>
    <w:rsid w:val="00AA1715"/>
    <w:rsid w:val="00AA1E6F"/>
    <w:rsid w:val="00AA21BE"/>
    <w:rsid w:val="00AA2B9D"/>
    <w:rsid w:val="00AA38E6"/>
    <w:rsid w:val="00AA3BE6"/>
    <w:rsid w:val="00AA4336"/>
    <w:rsid w:val="00AA48DB"/>
    <w:rsid w:val="00AA4B3B"/>
    <w:rsid w:val="00AA5D92"/>
    <w:rsid w:val="00AA608E"/>
    <w:rsid w:val="00AA760D"/>
    <w:rsid w:val="00AB0292"/>
    <w:rsid w:val="00AB0440"/>
    <w:rsid w:val="00AB08CE"/>
    <w:rsid w:val="00AB0A78"/>
    <w:rsid w:val="00AB1639"/>
    <w:rsid w:val="00AB1961"/>
    <w:rsid w:val="00AB1F72"/>
    <w:rsid w:val="00AB2B45"/>
    <w:rsid w:val="00AB346A"/>
    <w:rsid w:val="00AB3A9D"/>
    <w:rsid w:val="00AB3C31"/>
    <w:rsid w:val="00AB553B"/>
    <w:rsid w:val="00AB680E"/>
    <w:rsid w:val="00AB7091"/>
    <w:rsid w:val="00AB7306"/>
    <w:rsid w:val="00AB7DC7"/>
    <w:rsid w:val="00AC048F"/>
    <w:rsid w:val="00AC0795"/>
    <w:rsid w:val="00AC0AEC"/>
    <w:rsid w:val="00AC3D60"/>
    <w:rsid w:val="00AC475D"/>
    <w:rsid w:val="00AC5B11"/>
    <w:rsid w:val="00AC5F4C"/>
    <w:rsid w:val="00AC65E2"/>
    <w:rsid w:val="00AC667F"/>
    <w:rsid w:val="00AC6DEA"/>
    <w:rsid w:val="00AC7A24"/>
    <w:rsid w:val="00AD0362"/>
    <w:rsid w:val="00AD113A"/>
    <w:rsid w:val="00AD200B"/>
    <w:rsid w:val="00AD2832"/>
    <w:rsid w:val="00AD2B81"/>
    <w:rsid w:val="00AD2C62"/>
    <w:rsid w:val="00AD30FD"/>
    <w:rsid w:val="00AD3224"/>
    <w:rsid w:val="00AD3996"/>
    <w:rsid w:val="00AD4507"/>
    <w:rsid w:val="00AD5155"/>
    <w:rsid w:val="00AD5C2D"/>
    <w:rsid w:val="00AD5CA5"/>
    <w:rsid w:val="00AD63DE"/>
    <w:rsid w:val="00AD6569"/>
    <w:rsid w:val="00AD6D99"/>
    <w:rsid w:val="00AD6F59"/>
    <w:rsid w:val="00AD7F58"/>
    <w:rsid w:val="00AE0286"/>
    <w:rsid w:val="00AE03B8"/>
    <w:rsid w:val="00AE20D1"/>
    <w:rsid w:val="00AE30D3"/>
    <w:rsid w:val="00AE4632"/>
    <w:rsid w:val="00AE4784"/>
    <w:rsid w:val="00AE5400"/>
    <w:rsid w:val="00AE564F"/>
    <w:rsid w:val="00AE5BB4"/>
    <w:rsid w:val="00AE5D7C"/>
    <w:rsid w:val="00AE6448"/>
    <w:rsid w:val="00AE7132"/>
    <w:rsid w:val="00AF05F9"/>
    <w:rsid w:val="00AF126A"/>
    <w:rsid w:val="00AF36D2"/>
    <w:rsid w:val="00AF3B94"/>
    <w:rsid w:val="00AF42FF"/>
    <w:rsid w:val="00AF4382"/>
    <w:rsid w:val="00AF4CFD"/>
    <w:rsid w:val="00AF6A1A"/>
    <w:rsid w:val="00AF6F4E"/>
    <w:rsid w:val="00AF7316"/>
    <w:rsid w:val="00AF7B06"/>
    <w:rsid w:val="00B005BF"/>
    <w:rsid w:val="00B0067D"/>
    <w:rsid w:val="00B0067E"/>
    <w:rsid w:val="00B00DCD"/>
    <w:rsid w:val="00B01495"/>
    <w:rsid w:val="00B0213C"/>
    <w:rsid w:val="00B02220"/>
    <w:rsid w:val="00B04725"/>
    <w:rsid w:val="00B0495C"/>
    <w:rsid w:val="00B04D29"/>
    <w:rsid w:val="00B04F73"/>
    <w:rsid w:val="00B06EFB"/>
    <w:rsid w:val="00B0725C"/>
    <w:rsid w:val="00B1149B"/>
    <w:rsid w:val="00B125F1"/>
    <w:rsid w:val="00B1274A"/>
    <w:rsid w:val="00B13172"/>
    <w:rsid w:val="00B137C5"/>
    <w:rsid w:val="00B137C8"/>
    <w:rsid w:val="00B13A55"/>
    <w:rsid w:val="00B142E8"/>
    <w:rsid w:val="00B14C0F"/>
    <w:rsid w:val="00B15AF3"/>
    <w:rsid w:val="00B15F1C"/>
    <w:rsid w:val="00B162C4"/>
    <w:rsid w:val="00B1668F"/>
    <w:rsid w:val="00B16E80"/>
    <w:rsid w:val="00B17640"/>
    <w:rsid w:val="00B2120A"/>
    <w:rsid w:val="00B214FF"/>
    <w:rsid w:val="00B21A3E"/>
    <w:rsid w:val="00B23A12"/>
    <w:rsid w:val="00B254B7"/>
    <w:rsid w:val="00B274BB"/>
    <w:rsid w:val="00B27555"/>
    <w:rsid w:val="00B30A2D"/>
    <w:rsid w:val="00B30B36"/>
    <w:rsid w:val="00B31575"/>
    <w:rsid w:val="00B3194E"/>
    <w:rsid w:val="00B319CB"/>
    <w:rsid w:val="00B31B22"/>
    <w:rsid w:val="00B31C2F"/>
    <w:rsid w:val="00B33688"/>
    <w:rsid w:val="00B33794"/>
    <w:rsid w:val="00B3379C"/>
    <w:rsid w:val="00B33E18"/>
    <w:rsid w:val="00B34133"/>
    <w:rsid w:val="00B360D9"/>
    <w:rsid w:val="00B36CCB"/>
    <w:rsid w:val="00B37806"/>
    <w:rsid w:val="00B37A65"/>
    <w:rsid w:val="00B402B9"/>
    <w:rsid w:val="00B40508"/>
    <w:rsid w:val="00B412AC"/>
    <w:rsid w:val="00B4138B"/>
    <w:rsid w:val="00B4188F"/>
    <w:rsid w:val="00B42F52"/>
    <w:rsid w:val="00B432D8"/>
    <w:rsid w:val="00B43A37"/>
    <w:rsid w:val="00B4463A"/>
    <w:rsid w:val="00B45279"/>
    <w:rsid w:val="00B4603C"/>
    <w:rsid w:val="00B46BF2"/>
    <w:rsid w:val="00B46CA6"/>
    <w:rsid w:val="00B47F3B"/>
    <w:rsid w:val="00B50D63"/>
    <w:rsid w:val="00B53342"/>
    <w:rsid w:val="00B538D8"/>
    <w:rsid w:val="00B5405E"/>
    <w:rsid w:val="00B552BE"/>
    <w:rsid w:val="00B56180"/>
    <w:rsid w:val="00B5628C"/>
    <w:rsid w:val="00B60DBB"/>
    <w:rsid w:val="00B616F8"/>
    <w:rsid w:val="00B6204E"/>
    <w:rsid w:val="00B626AE"/>
    <w:rsid w:val="00B62D0D"/>
    <w:rsid w:val="00B633F8"/>
    <w:rsid w:val="00B63CB6"/>
    <w:rsid w:val="00B63D29"/>
    <w:rsid w:val="00B63D8D"/>
    <w:rsid w:val="00B63F0C"/>
    <w:rsid w:val="00B64619"/>
    <w:rsid w:val="00B64CA4"/>
    <w:rsid w:val="00B67633"/>
    <w:rsid w:val="00B67A0E"/>
    <w:rsid w:val="00B70E0D"/>
    <w:rsid w:val="00B71418"/>
    <w:rsid w:val="00B715B6"/>
    <w:rsid w:val="00B7305D"/>
    <w:rsid w:val="00B7318B"/>
    <w:rsid w:val="00B73404"/>
    <w:rsid w:val="00B7400D"/>
    <w:rsid w:val="00B75EA7"/>
    <w:rsid w:val="00B77179"/>
    <w:rsid w:val="00B77882"/>
    <w:rsid w:val="00B77CF9"/>
    <w:rsid w:val="00B80018"/>
    <w:rsid w:val="00B80235"/>
    <w:rsid w:val="00B84332"/>
    <w:rsid w:val="00B858F0"/>
    <w:rsid w:val="00B85F59"/>
    <w:rsid w:val="00B865D0"/>
    <w:rsid w:val="00B8674B"/>
    <w:rsid w:val="00B869EF"/>
    <w:rsid w:val="00B87205"/>
    <w:rsid w:val="00B903F7"/>
    <w:rsid w:val="00B91155"/>
    <w:rsid w:val="00B913C2"/>
    <w:rsid w:val="00B91677"/>
    <w:rsid w:val="00B917E5"/>
    <w:rsid w:val="00B9226C"/>
    <w:rsid w:val="00B924B7"/>
    <w:rsid w:val="00B93C85"/>
    <w:rsid w:val="00B95BC3"/>
    <w:rsid w:val="00B966A9"/>
    <w:rsid w:val="00BA00F0"/>
    <w:rsid w:val="00BA0250"/>
    <w:rsid w:val="00BA0A3D"/>
    <w:rsid w:val="00BA0D95"/>
    <w:rsid w:val="00BA14EA"/>
    <w:rsid w:val="00BA227C"/>
    <w:rsid w:val="00BA2D63"/>
    <w:rsid w:val="00BA3A4F"/>
    <w:rsid w:val="00BA3C53"/>
    <w:rsid w:val="00BA5230"/>
    <w:rsid w:val="00BA536E"/>
    <w:rsid w:val="00BA608A"/>
    <w:rsid w:val="00BA6A71"/>
    <w:rsid w:val="00BA760D"/>
    <w:rsid w:val="00BA7D2E"/>
    <w:rsid w:val="00BA7ED6"/>
    <w:rsid w:val="00BB02FF"/>
    <w:rsid w:val="00BB0709"/>
    <w:rsid w:val="00BB0753"/>
    <w:rsid w:val="00BB0CDA"/>
    <w:rsid w:val="00BB0FAA"/>
    <w:rsid w:val="00BB11EA"/>
    <w:rsid w:val="00BB23DF"/>
    <w:rsid w:val="00BB29A0"/>
    <w:rsid w:val="00BB2A31"/>
    <w:rsid w:val="00BB3295"/>
    <w:rsid w:val="00BB3486"/>
    <w:rsid w:val="00BB3C87"/>
    <w:rsid w:val="00BB3F1F"/>
    <w:rsid w:val="00BB3FC1"/>
    <w:rsid w:val="00BB6059"/>
    <w:rsid w:val="00BB7270"/>
    <w:rsid w:val="00BB77AF"/>
    <w:rsid w:val="00BC0799"/>
    <w:rsid w:val="00BC1E01"/>
    <w:rsid w:val="00BC20CB"/>
    <w:rsid w:val="00BC2D01"/>
    <w:rsid w:val="00BC3FCD"/>
    <w:rsid w:val="00BC4907"/>
    <w:rsid w:val="00BC5C79"/>
    <w:rsid w:val="00BC62DE"/>
    <w:rsid w:val="00BC6D04"/>
    <w:rsid w:val="00BC764B"/>
    <w:rsid w:val="00BD03F9"/>
    <w:rsid w:val="00BD06BF"/>
    <w:rsid w:val="00BD0857"/>
    <w:rsid w:val="00BD0FB9"/>
    <w:rsid w:val="00BD1E69"/>
    <w:rsid w:val="00BD2FCB"/>
    <w:rsid w:val="00BD36BF"/>
    <w:rsid w:val="00BD4249"/>
    <w:rsid w:val="00BD4CE7"/>
    <w:rsid w:val="00BD5216"/>
    <w:rsid w:val="00BD5A15"/>
    <w:rsid w:val="00BD6079"/>
    <w:rsid w:val="00BD654D"/>
    <w:rsid w:val="00BD6F1B"/>
    <w:rsid w:val="00BD75EF"/>
    <w:rsid w:val="00BE1ABE"/>
    <w:rsid w:val="00BE2B28"/>
    <w:rsid w:val="00BE34E3"/>
    <w:rsid w:val="00BE57FE"/>
    <w:rsid w:val="00BE589F"/>
    <w:rsid w:val="00BE6D8D"/>
    <w:rsid w:val="00BF04F1"/>
    <w:rsid w:val="00BF0507"/>
    <w:rsid w:val="00BF1AA7"/>
    <w:rsid w:val="00BF215C"/>
    <w:rsid w:val="00BF323D"/>
    <w:rsid w:val="00BF40DF"/>
    <w:rsid w:val="00BF468A"/>
    <w:rsid w:val="00BF479F"/>
    <w:rsid w:val="00BF4D76"/>
    <w:rsid w:val="00BF4E8A"/>
    <w:rsid w:val="00BF6324"/>
    <w:rsid w:val="00BF733C"/>
    <w:rsid w:val="00BF7536"/>
    <w:rsid w:val="00BF7E93"/>
    <w:rsid w:val="00C0079B"/>
    <w:rsid w:val="00C01AF6"/>
    <w:rsid w:val="00C01D15"/>
    <w:rsid w:val="00C0239E"/>
    <w:rsid w:val="00C02D57"/>
    <w:rsid w:val="00C03212"/>
    <w:rsid w:val="00C0346C"/>
    <w:rsid w:val="00C035A5"/>
    <w:rsid w:val="00C035A6"/>
    <w:rsid w:val="00C0389F"/>
    <w:rsid w:val="00C04228"/>
    <w:rsid w:val="00C04895"/>
    <w:rsid w:val="00C04ABF"/>
    <w:rsid w:val="00C05CD1"/>
    <w:rsid w:val="00C062FE"/>
    <w:rsid w:val="00C0653B"/>
    <w:rsid w:val="00C06AB3"/>
    <w:rsid w:val="00C07604"/>
    <w:rsid w:val="00C10B82"/>
    <w:rsid w:val="00C10E1D"/>
    <w:rsid w:val="00C11451"/>
    <w:rsid w:val="00C12A97"/>
    <w:rsid w:val="00C131FF"/>
    <w:rsid w:val="00C13AC2"/>
    <w:rsid w:val="00C13E64"/>
    <w:rsid w:val="00C14B56"/>
    <w:rsid w:val="00C14C5E"/>
    <w:rsid w:val="00C1661A"/>
    <w:rsid w:val="00C16700"/>
    <w:rsid w:val="00C16F9B"/>
    <w:rsid w:val="00C175A1"/>
    <w:rsid w:val="00C178F3"/>
    <w:rsid w:val="00C211F6"/>
    <w:rsid w:val="00C21211"/>
    <w:rsid w:val="00C2258E"/>
    <w:rsid w:val="00C23991"/>
    <w:rsid w:val="00C24031"/>
    <w:rsid w:val="00C24867"/>
    <w:rsid w:val="00C2753C"/>
    <w:rsid w:val="00C309B6"/>
    <w:rsid w:val="00C31529"/>
    <w:rsid w:val="00C32C67"/>
    <w:rsid w:val="00C34DF4"/>
    <w:rsid w:val="00C35327"/>
    <w:rsid w:val="00C359A5"/>
    <w:rsid w:val="00C35AAB"/>
    <w:rsid w:val="00C40735"/>
    <w:rsid w:val="00C41031"/>
    <w:rsid w:val="00C41AA5"/>
    <w:rsid w:val="00C41AF2"/>
    <w:rsid w:val="00C41F07"/>
    <w:rsid w:val="00C425EF"/>
    <w:rsid w:val="00C427EB"/>
    <w:rsid w:val="00C43811"/>
    <w:rsid w:val="00C439E5"/>
    <w:rsid w:val="00C43B58"/>
    <w:rsid w:val="00C43CB6"/>
    <w:rsid w:val="00C43F76"/>
    <w:rsid w:val="00C447C3"/>
    <w:rsid w:val="00C45607"/>
    <w:rsid w:val="00C45CF0"/>
    <w:rsid w:val="00C46027"/>
    <w:rsid w:val="00C46591"/>
    <w:rsid w:val="00C475D5"/>
    <w:rsid w:val="00C476A9"/>
    <w:rsid w:val="00C47E68"/>
    <w:rsid w:val="00C50647"/>
    <w:rsid w:val="00C50A07"/>
    <w:rsid w:val="00C50AD1"/>
    <w:rsid w:val="00C50C41"/>
    <w:rsid w:val="00C50CB9"/>
    <w:rsid w:val="00C520EB"/>
    <w:rsid w:val="00C52813"/>
    <w:rsid w:val="00C52FB4"/>
    <w:rsid w:val="00C5309B"/>
    <w:rsid w:val="00C54B9A"/>
    <w:rsid w:val="00C6138B"/>
    <w:rsid w:val="00C6185C"/>
    <w:rsid w:val="00C61AA0"/>
    <w:rsid w:val="00C61E8B"/>
    <w:rsid w:val="00C630CF"/>
    <w:rsid w:val="00C6346D"/>
    <w:rsid w:val="00C63E1A"/>
    <w:rsid w:val="00C6493A"/>
    <w:rsid w:val="00C64A9A"/>
    <w:rsid w:val="00C64E89"/>
    <w:rsid w:val="00C64FA5"/>
    <w:rsid w:val="00C65D0D"/>
    <w:rsid w:val="00C65D5F"/>
    <w:rsid w:val="00C675D3"/>
    <w:rsid w:val="00C67BFF"/>
    <w:rsid w:val="00C67EAF"/>
    <w:rsid w:val="00C71573"/>
    <w:rsid w:val="00C7164F"/>
    <w:rsid w:val="00C719D3"/>
    <w:rsid w:val="00C72467"/>
    <w:rsid w:val="00C724F6"/>
    <w:rsid w:val="00C72A05"/>
    <w:rsid w:val="00C72E5D"/>
    <w:rsid w:val="00C730BE"/>
    <w:rsid w:val="00C74DF6"/>
    <w:rsid w:val="00C761E2"/>
    <w:rsid w:val="00C80463"/>
    <w:rsid w:val="00C814AF"/>
    <w:rsid w:val="00C837A6"/>
    <w:rsid w:val="00C853DB"/>
    <w:rsid w:val="00C85F70"/>
    <w:rsid w:val="00C86AC2"/>
    <w:rsid w:val="00C86B42"/>
    <w:rsid w:val="00C8728A"/>
    <w:rsid w:val="00C913AF"/>
    <w:rsid w:val="00C9238A"/>
    <w:rsid w:val="00C92E6F"/>
    <w:rsid w:val="00C93F82"/>
    <w:rsid w:val="00C94EFE"/>
    <w:rsid w:val="00C950C7"/>
    <w:rsid w:val="00C95B3E"/>
    <w:rsid w:val="00C95CDC"/>
    <w:rsid w:val="00C95F57"/>
    <w:rsid w:val="00C9604A"/>
    <w:rsid w:val="00C96473"/>
    <w:rsid w:val="00CA1528"/>
    <w:rsid w:val="00CA157E"/>
    <w:rsid w:val="00CA1940"/>
    <w:rsid w:val="00CA1AB3"/>
    <w:rsid w:val="00CA1FC4"/>
    <w:rsid w:val="00CA369B"/>
    <w:rsid w:val="00CA3BE8"/>
    <w:rsid w:val="00CA4A11"/>
    <w:rsid w:val="00CA4AC5"/>
    <w:rsid w:val="00CA52A7"/>
    <w:rsid w:val="00CA571B"/>
    <w:rsid w:val="00CA6AA2"/>
    <w:rsid w:val="00CA6B9F"/>
    <w:rsid w:val="00CB0086"/>
    <w:rsid w:val="00CB07A5"/>
    <w:rsid w:val="00CB104D"/>
    <w:rsid w:val="00CB16BF"/>
    <w:rsid w:val="00CB45C1"/>
    <w:rsid w:val="00CB5172"/>
    <w:rsid w:val="00CB582D"/>
    <w:rsid w:val="00CB5A32"/>
    <w:rsid w:val="00CB6295"/>
    <w:rsid w:val="00CB650A"/>
    <w:rsid w:val="00CB6A0A"/>
    <w:rsid w:val="00CB6BC9"/>
    <w:rsid w:val="00CB7EE3"/>
    <w:rsid w:val="00CC01AB"/>
    <w:rsid w:val="00CC03DE"/>
    <w:rsid w:val="00CC1D5B"/>
    <w:rsid w:val="00CC1E9F"/>
    <w:rsid w:val="00CC2946"/>
    <w:rsid w:val="00CC467E"/>
    <w:rsid w:val="00CC4A98"/>
    <w:rsid w:val="00CC65AF"/>
    <w:rsid w:val="00CC6DA7"/>
    <w:rsid w:val="00CD00AE"/>
    <w:rsid w:val="00CD04A7"/>
    <w:rsid w:val="00CD0C7D"/>
    <w:rsid w:val="00CD316A"/>
    <w:rsid w:val="00CD5871"/>
    <w:rsid w:val="00CD60C9"/>
    <w:rsid w:val="00CD612A"/>
    <w:rsid w:val="00CD66E8"/>
    <w:rsid w:val="00CE0657"/>
    <w:rsid w:val="00CE0977"/>
    <w:rsid w:val="00CE0F34"/>
    <w:rsid w:val="00CE1D51"/>
    <w:rsid w:val="00CE23B9"/>
    <w:rsid w:val="00CE54AE"/>
    <w:rsid w:val="00CE5624"/>
    <w:rsid w:val="00CE62F1"/>
    <w:rsid w:val="00CE65C4"/>
    <w:rsid w:val="00CE6C70"/>
    <w:rsid w:val="00CE722D"/>
    <w:rsid w:val="00CE7AAA"/>
    <w:rsid w:val="00CF0932"/>
    <w:rsid w:val="00CF0FBD"/>
    <w:rsid w:val="00CF1FBA"/>
    <w:rsid w:val="00CF32A4"/>
    <w:rsid w:val="00CF3892"/>
    <w:rsid w:val="00CF4665"/>
    <w:rsid w:val="00CF5141"/>
    <w:rsid w:val="00CF52D5"/>
    <w:rsid w:val="00CF6D42"/>
    <w:rsid w:val="00D002B7"/>
    <w:rsid w:val="00D00A23"/>
    <w:rsid w:val="00D01070"/>
    <w:rsid w:val="00D01527"/>
    <w:rsid w:val="00D02F96"/>
    <w:rsid w:val="00D0351A"/>
    <w:rsid w:val="00D05427"/>
    <w:rsid w:val="00D068FC"/>
    <w:rsid w:val="00D06D28"/>
    <w:rsid w:val="00D104AC"/>
    <w:rsid w:val="00D1092E"/>
    <w:rsid w:val="00D11591"/>
    <w:rsid w:val="00D1197D"/>
    <w:rsid w:val="00D13153"/>
    <w:rsid w:val="00D134B9"/>
    <w:rsid w:val="00D14760"/>
    <w:rsid w:val="00D14B93"/>
    <w:rsid w:val="00D15401"/>
    <w:rsid w:val="00D155DA"/>
    <w:rsid w:val="00D16664"/>
    <w:rsid w:val="00D17402"/>
    <w:rsid w:val="00D17BE5"/>
    <w:rsid w:val="00D17D7D"/>
    <w:rsid w:val="00D17EEC"/>
    <w:rsid w:val="00D20E64"/>
    <w:rsid w:val="00D21E94"/>
    <w:rsid w:val="00D22C0A"/>
    <w:rsid w:val="00D230BE"/>
    <w:rsid w:val="00D24B53"/>
    <w:rsid w:val="00D2685C"/>
    <w:rsid w:val="00D26E99"/>
    <w:rsid w:val="00D27FA0"/>
    <w:rsid w:val="00D307C6"/>
    <w:rsid w:val="00D309D1"/>
    <w:rsid w:val="00D30C6A"/>
    <w:rsid w:val="00D313B1"/>
    <w:rsid w:val="00D32174"/>
    <w:rsid w:val="00D32FC3"/>
    <w:rsid w:val="00D33502"/>
    <w:rsid w:val="00D35354"/>
    <w:rsid w:val="00D358C2"/>
    <w:rsid w:val="00D35B88"/>
    <w:rsid w:val="00D35D36"/>
    <w:rsid w:val="00D37000"/>
    <w:rsid w:val="00D37A41"/>
    <w:rsid w:val="00D4125F"/>
    <w:rsid w:val="00D41ADD"/>
    <w:rsid w:val="00D41F8B"/>
    <w:rsid w:val="00D42195"/>
    <w:rsid w:val="00D43F73"/>
    <w:rsid w:val="00D45173"/>
    <w:rsid w:val="00D45724"/>
    <w:rsid w:val="00D45E55"/>
    <w:rsid w:val="00D46BEB"/>
    <w:rsid w:val="00D46C84"/>
    <w:rsid w:val="00D4733E"/>
    <w:rsid w:val="00D47B21"/>
    <w:rsid w:val="00D500C5"/>
    <w:rsid w:val="00D508D6"/>
    <w:rsid w:val="00D512A5"/>
    <w:rsid w:val="00D5185F"/>
    <w:rsid w:val="00D53A90"/>
    <w:rsid w:val="00D5404E"/>
    <w:rsid w:val="00D54E7F"/>
    <w:rsid w:val="00D55A66"/>
    <w:rsid w:val="00D55F4A"/>
    <w:rsid w:val="00D561E5"/>
    <w:rsid w:val="00D605D7"/>
    <w:rsid w:val="00D6208F"/>
    <w:rsid w:val="00D62D20"/>
    <w:rsid w:val="00D6443E"/>
    <w:rsid w:val="00D64A3C"/>
    <w:rsid w:val="00D64DE2"/>
    <w:rsid w:val="00D660B7"/>
    <w:rsid w:val="00D66CF3"/>
    <w:rsid w:val="00D6787C"/>
    <w:rsid w:val="00D70346"/>
    <w:rsid w:val="00D708FA"/>
    <w:rsid w:val="00D70B53"/>
    <w:rsid w:val="00D721D2"/>
    <w:rsid w:val="00D7230D"/>
    <w:rsid w:val="00D72D16"/>
    <w:rsid w:val="00D73DEF"/>
    <w:rsid w:val="00D74BDA"/>
    <w:rsid w:val="00D74F92"/>
    <w:rsid w:val="00D7507A"/>
    <w:rsid w:val="00D75166"/>
    <w:rsid w:val="00D75744"/>
    <w:rsid w:val="00D75AEA"/>
    <w:rsid w:val="00D75F05"/>
    <w:rsid w:val="00D77911"/>
    <w:rsid w:val="00D820F8"/>
    <w:rsid w:val="00D82438"/>
    <w:rsid w:val="00D825C1"/>
    <w:rsid w:val="00D826A9"/>
    <w:rsid w:val="00D834EF"/>
    <w:rsid w:val="00D84B29"/>
    <w:rsid w:val="00D85941"/>
    <w:rsid w:val="00D86E70"/>
    <w:rsid w:val="00D872E7"/>
    <w:rsid w:val="00D87B78"/>
    <w:rsid w:val="00D87E9C"/>
    <w:rsid w:val="00D913A2"/>
    <w:rsid w:val="00D91DE6"/>
    <w:rsid w:val="00D92007"/>
    <w:rsid w:val="00D922F6"/>
    <w:rsid w:val="00D92455"/>
    <w:rsid w:val="00D92863"/>
    <w:rsid w:val="00D9340E"/>
    <w:rsid w:val="00D93AE6"/>
    <w:rsid w:val="00D94AE3"/>
    <w:rsid w:val="00D94B4B"/>
    <w:rsid w:val="00D950D0"/>
    <w:rsid w:val="00D953A4"/>
    <w:rsid w:val="00D95C99"/>
    <w:rsid w:val="00D977F6"/>
    <w:rsid w:val="00D97D04"/>
    <w:rsid w:val="00DA211E"/>
    <w:rsid w:val="00DA2E2F"/>
    <w:rsid w:val="00DA303C"/>
    <w:rsid w:val="00DA4430"/>
    <w:rsid w:val="00DA4676"/>
    <w:rsid w:val="00DA5C88"/>
    <w:rsid w:val="00DA6736"/>
    <w:rsid w:val="00DB0513"/>
    <w:rsid w:val="00DB1217"/>
    <w:rsid w:val="00DB1E7C"/>
    <w:rsid w:val="00DB2311"/>
    <w:rsid w:val="00DB591E"/>
    <w:rsid w:val="00DB5E2F"/>
    <w:rsid w:val="00DB5FC8"/>
    <w:rsid w:val="00DB6414"/>
    <w:rsid w:val="00DB66E4"/>
    <w:rsid w:val="00DB672C"/>
    <w:rsid w:val="00DB73A7"/>
    <w:rsid w:val="00DB78D4"/>
    <w:rsid w:val="00DB7F90"/>
    <w:rsid w:val="00DC0759"/>
    <w:rsid w:val="00DC0AB3"/>
    <w:rsid w:val="00DC13FE"/>
    <w:rsid w:val="00DC155D"/>
    <w:rsid w:val="00DC1ADA"/>
    <w:rsid w:val="00DC1DB5"/>
    <w:rsid w:val="00DC26A3"/>
    <w:rsid w:val="00DC376C"/>
    <w:rsid w:val="00DC4DB6"/>
    <w:rsid w:val="00DD050F"/>
    <w:rsid w:val="00DD0C8C"/>
    <w:rsid w:val="00DD0D90"/>
    <w:rsid w:val="00DD1838"/>
    <w:rsid w:val="00DD1932"/>
    <w:rsid w:val="00DD1BA8"/>
    <w:rsid w:val="00DD202D"/>
    <w:rsid w:val="00DD21E6"/>
    <w:rsid w:val="00DD2A44"/>
    <w:rsid w:val="00DD35F5"/>
    <w:rsid w:val="00DD4EBB"/>
    <w:rsid w:val="00DD5985"/>
    <w:rsid w:val="00DD59D7"/>
    <w:rsid w:val="00DD5A22"/>
    <w:rsid w:val="00DD676D"/>
    <w:rsid w:val="00DD6B83"/>
    <w:rsid w:val="00DD72E2"/>
    <w:rsid w:val="00DE0799"/>
    <w:rsid w:val="00DE0848"/>
    <w:rsid w:val="00DE154F"/>
    <w:rsid w:val="00DE1877"/>
    <w:rsid w:val="00DE21FA"/>
    <w:rsid w:val="00DE26B4"/>
    <w:rsid w:val="00DE2FA7"/>
    <w:rsid w:val="00DE35E3"/>
    <w:rsid w:val="00DE3A3B"/>
    <w:rsid w:val="00DE44D9"/>
    <w:rsid w:val="00DE470A"/>
    <w:rsid w:val="00DE4B47"/>
    <w:rsid w:val="00DE54D1"/>
    <w:rsid w:val="00DE5CE8"/>
    <w:rsid w:val="00DE6834"/>
    <w:rsid w:val="00DE6A4B"/>
    <w:rsid w:val="00DE74A8"/>
    <w:rsid w:val="00DF0074"/>
    <w:rsid w:val="00DF0098"/>
    <w:rsid w:val="00DF0A49"/>
    <w:rsid w:val="00DF1AAB"/>
    <w:rsid w:val="00DF2339"/>
    <w:rsid w:val="00DF364D"/>
    <w:rsid w:val="00DF3B1D"/>
    <w:rsid w:val="00DF4214"/>
    <w:rsid w:val="00DF4EB3"/>
    <w:rsid w:val="00DF5041"/>
    <w:rsid w:val="00DF5267"/>
    <w:rsid w:val="00DF584F"/>
    <w:rsid w:val="00DF5A76"/>
    <w:rsid w:val="00DF5D6A"/>
    <w:rsid w:val="00DF677C"/>
    <w:rsid w:val="00DF7980"/>
    <w:rsid w:val="00DF7D99"/>
    <w:rsid w:val="00DF7EA4"/>
    <w:rsid w:val="00DF7F0D"/>
    <w:rsid w:val="00E001F4"/>
    <w:rsid w:val="00E007E7"/>
    <w:rsid w:val="00E00938"/>
    <w:rsid w:val="00E009E0"/>
    <w:rsid w:val="00E01076"/>
    <w:rsid w:val="00E0109A"/>
    <w:rsid w:val="00E0146B"/>
    <w:rsid w:val="00E0155E"/>
    <w:rsid w:val="00E04020"/>
    <w:rsid w:val="00E04980"/>
    <w:rsid w:val="00E06B0B"/>
    <w:rsid w:val="00E070BA"/>
    <w:rsid w:val="00E07802"/>
    <w:rsid w:val="00E10399"/>
    <w:rsid w:val="00E10782"/>
    <w:rsid w:val="00E1089B"/>
    <w:rsid w:val="00E11A22"/>
    <w:rsid w:val="00E11B4A"/>
    <w:rsid w:val="00E12FCE"/>
    <w:rsid w:val="00E145DD"/>
    <w:rsid w:val="00E14601"/>
    <w:rsid w:val="00E14ADD"/>
    <w:rsid w:val="00E14D5C"/>
    <w:rsid w:val="00E15F9B"/>
    <w:rsid w:val="00E169FA"/>
    <w:rsid w:val="00E1745A"/>
    <w:rsid w:val="00E174A3"/>
    <w:rsid w:val="00E20C10"/>
    <w:rsid w:val="00E21778"/>
    <w:rsid w:val="00E229EE"/>
    <w:rsid w:val="00E244ED"/>
    <w:rsid w:val="00E2458C"/>
    <w:rsid w:val="00E24927"/>
    <w:rsid w:val="00E24BC9"/>
    <w:rsid w:val="00E24EBA"/>
    <w:rsid w:val="00E253A6"/>
    <w:rsid w:val="00E25DBD"/>
    <w:rsid w:val="00E2675F"/>
    <w:rsid w:val="00E26C4C"/>
    <w:rsid w:val="00E26DA6"/>
    <w:rsid w:val="00E27572"/>
    <w:rsid w:val="00E27A72"/>
    <w:rsid w:val="00E31604"/>
    <w:rsid w:val="00E31B57"/>
    <w:rsid w:val="00E322BB"/>
    <w:rsid w:val="00E325A1"/>
    <w:rsid w:val="00E33780"/>
    <w:rsid w:val="00E34A4A"/>
    <w:rsid w:val="00E34E3F"/>
    <w:rsid w:val="00E367A3"/>
    <w:rsid w:val="00E36C14"/>
    <w:rsid w:val="00E37460"/>
    <w:rsid w:val="00E376A2"/>
    <w:rsid w:val="00E37C78"/>
    <w:rsid w:val="00E40194"/>
    <w:rsid w:val="00E40D16"/>
    <w:rsid w:val="00E418C1"/>
    <w:rsid w:val="00E41A67"/>
    <w:rsid w:val="00E41AD7"/>
    <w:rsid w:val="00E42BF1"/>
    <w:rsid w:val="00E434AA"/>
    <w:rsid w:val="00E436F0"/>
    <w:rsid w:val="00E4384D"/>
    <w:rsid w:val="00E4396A"/>
    <w:rsid w:val="00E43EEA"/>
    <w:rsid w:val="00E4499C"/>
    <w:rsid w:val="00E455A0"/>
    <w:rsid w:val="00E45C3F"/>
    <w:rsid w:val="00E46003"/>
    <w:rsid w:val="00E46DFA"/>
    <w:rsid w:val="00E476C6"/>
    <w:rsid w:val="00E47F65"/>
    <w:rsid w:val="00E508F6"/>
    <w:rsid w:val="00E50BB3"/>
    <w:rsid w:val="00E52768"/>
    <w:rsid w:val="00E53199"/>
    <w:rsid w:val="00E53B2B"/>
    <w:rsid w:val="00E53EDC"/>
    <w:rsid w:val="00E54341"/>
    <w:rsid w:val="00E543B9"/>
    <w:rsid w:val="00E5513E"/>
    <w:rsid w:val="00E56185"/>
    <w:rsid w:val="00E56728"/>
    <w:rsid w:val="00E56CE5"/>
    <w:rsid w:val="00E57632"/>
    <w:rsid w:val="00E603E0"/>
    <w:rsid w:val="00E620D0"/>
    <w:rsid w:val="00E62BE8"/>
    <w:rsid w:val="00E632CF"/>
    <w:rsid w:val="00E65538"/>
    <w:rsid w:val="00E6579C"/>
    <w:rsid w:val="00E65C13"/>
    <w:rsid w:val="00E65EC3"/>
    <w:rsid w:val="00E66C33"/>
    <w:rsid w:val="00E677DC"/>
    <w:rsid w:val="00E67F8A"/>
    <w:rsid w:val="00E70123"/>
    <w:rsid w:val="00E70308"/>
    <w:rsid w:val="00E70599"/>
    <w:rsid w:val="00E71990"/>
    <w:rsid w:val="00E71F7E"/>
    <w:rsid w:val="00E72DAB"/>
    <w:rsid w:val="00E73E15"/>
    <w:rsid w:val="00E74AA3"/>
    <w:rsid w:val="00E75248"/>
    <w:rsid w:val="00E7551F"/>
    <w:rsid w:val="00E756C8"/>
    <w:rsid w:val="00E7574E"/>
    <w:rsid w:val="00E768AE"/>
    <w:rsid w:val="00E76F74"/>
    <w:rsid w:val="00E77776"/>
    <w:rsid w:val="00E77C12"/>
    <w:rsid w:val="00E801AB"/>
    <w:rsid w:val="00E804DE"/>
    <w:rsid w:val="00E80CF8"/>
    <w:rsid w:val="00E80F81"/>
    <w:rsid w:val="00E82CFA"/>
    <w:rsid w:val="00E83DEA"/>
    <w:rsid w:val="00E83ED8"/>
    <w:rsid w:val="00E84E99"/>
    <w:rsid w:val="00E853CB"/>
    <w:rsid w:val="00E85CE0"/>
    <w:rsid w:val="00E86D96"/>
    <w:rsid w:val="00E86FDA"/>
    <w:rsid w:val="00E8730D"/>
    <w:rsid w:val="00E874F0"/>
    <w:rsid w:val="00E8767C"/>
    <w:rsid w:val="00E87ABD"/>
    <w:rsid w:val="00E9056E"/>
    <w:rsid w:val="00E9152E"/>
    <w:rsid w:val="00E92593"/>
    <w:rsid w:val="00E9307A"/>
    <w:rsid w:val="00E93854"/>
    <w:rsid w:val="00EA0D3D"/>
    <w:rsid w:val="00EA1228"/>
    <w:rsid w:val="00EA4725"/>
    <w:rsid w:val="00EA48EA"/>
    <w:rsid w:val="00EA4D00"/>
    <w:rsid w:val="00EA4DFD"/>
    <w:rsid w:val="00EA5A2A"/>
    <w:rsid w:val="00EA656B"/>
    <w:rsid w:val="00EA6B72"/>
    <w:rsid w:val="00EA6FF9"/>
    <w:rsid w:val="00EA7743"/>
    <w:rsid w:val="00EB1342"/>
    <w:rsid w:val="00EB15FC"/>
    <w:rsid w:val="00EB2976"/>
    <w:rsid w:val="00EB29F1"/>
    <w:rsid w:val="00EB2F66"/>
    <w:rsid w:val="00EB3836"/>
    <w:rsid w:val="00EB3FE4"/>
    <w:rsid w:val="00EB4690"/>
    <w:rsid w:val="00EB4F56"/>
    <w:rsid w:val="00EB5F34"/>
    <w:rsid w:val="00EB64D0"/>
    <w:rsid w:val="00EB678E"/>
    <w:rsid w:val="00EB68F7"/>
    <w:rsid w:val="00EB6C2D"/>
    <w:rsid w:val="00EB6D76"/>
    <w:rsid w:val="00EB7263"/>
    <w:rsid w:val="00EB7355"/>
    <w:rsid w:val="00EB7673"/>
    <w:rsid w:val="00EB77D5"/>
    <w:rsid w:val="00EB7C3D"/>
    <w:rsid w:val="00EB7F86"/>
    <w:rsid w:val="00EC08C3"/>
    <w:rsid w:val="00EC0BCC"/>
    <w:rsid w:val="00EC1881"/>
    <w:rsid w:val="00EC1BE8"/>
    <w:rsid w:val="00EC4025"/>
    <w:rsid w:val="00EC413D"/>
    <w:rsid w:val="00EC5BD7"/>
    <w:rsid w:val="00EC7FCD"/>
    <w:rsid w:val="00ED0061"/>
    <w:rsid w:val="00ED00D5"/>
    <w:rsid w:val="00ED130C"/>
    <w:rsid w:val="00ED2A66"/>
    <w:rsid w:val="00ED2BDC"/>
    <w:rsid w:val="00ED30B8"/>
    <w:rsid w:val="00ED4F03"/>
    <w:rsid w:val="00ED5109"/>
    <w:rsid w:val="00ED5195"/>
    <w:rsid w:val="00ED5843"/>
    <w:rsid w:val="00ED7014"/>
    <w:rsid w:val="00EE2A47"/>
    <w:rsid w:val="00EE2BCD"/>
    <w:rsid w:val="00EE3950"/>
    <w:rsid w:val="00EE4AFB"/>
    <w:rsid w:val="00EE512F"/>
    <w:rsid w:val="00EE6A7A"/>
    <w:rsid w:val="00EE6DD4"/>
    <w:rsid w:val="00EE7308"/>
    <w:rsid w:val="00EF107C"/>
    <w:rsid w:val="00EF1CBA"/>
    <w:rsid w:val="00EF1DB0"/>
    <w:rsid w:val="00EF513B"/>
    <w:rsid w:val="00EF5784"/>
    <w:rsid w:val="00EF5CB9"/>
    <w:rsid w:val="00EF6002"/>
    <w:rsid w:val="00EF689A"/>
    <w:rsid w:val="00EF6B31"/>
    <w:rsid w:val="00EF73ED"/>
    <w:rsid w:val="00F001C4"/>
    <w:rsid w:val="00F006E6"/>
    <w:rsid w:val="00F012E1"/>
    <w:rsid w:val="00F01CA5"/>
    <w:rsid w:val="00F02042"/>
    <w:rsid w:val="00F023DD"/>
    <w:rsid w:val="00F040EB"/>
    <w:rsid w:val="00F0431C"/>
    <w:rsid w:val="00F04FFA"/>
    <w:rsid w:val="00F0653B"/>
    <w:rsid w:val="00F0739D"/>
    <w:rsid w:val="00F078DA"/>
    <w:rsid w:val="00F07D13"/>
    <w:rsid w:val="00F07EB9"/>
    <w:rsid w:val="00F07F0A"/>
    <w:rsid w:val="00F11E7D"/>
    <w:rsid w:val="00F13190"/>
    <w:rsid w:val="00F13FA5"/>
    <w:rsid w:val="00F15843"/>
    <w:rsid w:val="00F15EF1"/>
    <w:rsid w:val="00F17384"/>
    <w:rsid w:val="00F17F8B"/>
    <w:rsid w:val="00F214A9"/>
    <w:rsid w:val="00F21C71"/>
    <w:rsid w:val="00F2305E"/>
    <w:rsid w:val="00F23290"/>
    <w:rsid w:val="00F23445"/>
    <w:rsid w:val="00F279A3"/>
    <w:rsid w:val="00F301A5"/>
    <w:rsid w:val="00F30851"/>
    <w:rsid w:val="00F31A5D"/>
    <w:rsid w:val="00F33DA8"/>
    <w:rsid w:val="00F342E7"/>
    <w:rsid w:val="00F34639"/>
    <w:rsid w:val="00F350EA"/>
    <w:rsid w:val="00F3751A"/>
    <w:rsid w:val="00F37E91"/>
    <w:rsid w:val="00F37EC3"/>
    <w:rsid w:val="00F420E9"/>
    <w:rsid w:val="00F43AA0"/>
    <w:rsid w:val="00F43D4A"/>
    <w:rsid w:val="00F44048"/>
    <w:rsid w:val="00F44B22"/>
    <w:rsid w:val="00F45472"/>
    <w:rsid w:val="00F4558A"/>
    <w:rsid w:val="00F45CAF"/>
    <w:rsid w:val="00F47BFE"/>
    <w:rsid w:val="00F47DC6"/>
    <w:rsid w:val="00F507E6"/>
    <w:rsid w:val="00F5131C"/>
    <w:rsid w:val="00F541F3"/>
    <w:rsid w:val="00F553FB"/>
    <w:rsid w:val="00F5557C"/>
    <w:rsid w:val="00F55A46"/>
    <w:rsid w:val="00F562DA"/>
    <w:rsid w:val="00F56A42"/>
    <w:rsid w:val="00F5790D"/>
    <w:rsid w:val="00F57B36"/>
    <w:rsid w:val="00F60250"/>
    <w:rsid w:val="00F6041E"/>
    <w:rsid w:val="00F605EE"/>
    <w:rsid w:val="00F62FB5"/>
    <w:rsid w:val="00F64124"/>
    <w:rsid w:val="00F647EE"/>
    <w:rsid w:val="00F64951"/>
    <w:rsid w:val="00F678EE"/>
    <w:rsid w:val="00F679E6"/>
    <w:rsid w:val="00F7018C"/>
    <w:rsid w:val="00F7112D"/>
    <w:rsid w:val="00F71C0C"/>
    <w:rsid w:val="00F7217E"/>
    <w:rsid w:val="00F7236D"/>
    <w:rsid w:val="00F72D91"/>
    <w:rsid w:val="00F72EA6"/>
    <w:rsid w:val="00F741FB"/>
    <w:rsid w:val="00F75FB2"/>
    <w:rsid w:val="00F76974"/>
    <w:rsid w:val="00F76C42"/>
    <w:rsid w:val="00F8113B"/>
    <w:rsid w:val="00F81515"/>
    <w:rsid w:val="00F81AF7"/>
    <w:rsid w:val="00F81E6E"/>
    <w:rsid w:val="00F82321"/>
    <w:rsid w:val="00F82A44"/>
    <w:rsid w:val="00F82DD9"/>
    <w:rsid w:val="00F83AAE"/>
    <w:rsid w:val="00F84221"/>
    <w:rsid w:val="00F85AB5"/>
    <w:rsid w:val="00F85D3D"/>
    <w:rsid w:val="00F8628A"/>
    <w:rsid w:val="00F86D41"/>
    <w:rsid w:val="00F87C08"/>
    <w:rsid w:val="00F904C8"/>
    <w:rsid w:val="00F90BE9"/>
    <w:rsid w:val="00F91D6A"/>
    <w:rsid w:val="00F92253"/>
    <w:rsid w:val="00F9422E"/>
    <w:rsid w:val="00F94622"/>
    <w:rsid w:val="00F94FDB"/>
    <w:rsid w:val="00F95F27"/>
    <w:rsid w:val="00F96A4A"/>
    <w:rsid w:val="00FA0A6F"/>
    <w:rsid w:val="00FA0F40"/>
    <w:rsid w:val="00FA1502"/>
    <w:rsid w:val="00FA1B72"/>
    <w:rsid w:val="00FA2067"/>
    <w:rsid w:val="00FA2466"/>
    <w:rsid w:val="00FA2AE7"/>
    <w:rsid w:val="00FA2B86"/>
    <w:rsid w:val="00FA2B87"/>
    <w:rsid w:val="00FA2D87"/>
    <w:rsid w:val="00FA3694"/>
    <w:rsid w:val="00FA3FC9"/>
    <w:rsid w:val="00FA4C70"/>
    <w:rsid w:val="00FA5EC5"/>
    <w:rsid w:val="00FA65D5"/>
    <w:rsid w:val="00FA701A"/>
    <w:rsid w:val="00FB0F11"/>
    <w:rsid w:val="00FB17D9"/>
    <w:rsid w:val="00FB29C9"/>
    <w:rsid w:val="00FB2AF8"/>
    <w:rsid w:val="00FB3037"/>
    <w:rsid w:val="00FB3E49"/>
    <w:rsid w:val="00FB4003"/>
    <w:rsid w:val="00FB5379"/>
    <w:rsid w:val="00FB5755"/>
    <w:rsid w:val="00FB5937"/>
    <w:rsid w:val="00FB62F5"/>
    <w:rsid w:val="00FB6B12"/>
    <w:rsid w:val="00FB728D"/>
    <w:rsid w:val="00FB7EC6"/>
    <w:rsid w:val="00FC0E12"/>
    <w:rsid w:val="00FC16FF"/>
    <w:rsid w:val="00FC1818"/>
    <w:rsid w:val="00FC2A97"/>
    <w:rsid w:val="00FC2DE5"/>
    <w:rsid w:val="00FC49DD"/>
    <w:rsid w:val="00FC5665"/>
    <w:rsid w:val="00FC584A"/>
    <w:rsid w:val="00FC6082"/>
    <w:rsid w:val="00FC7F96"/>
    <w:rsid w:val="00FC7FB1"/>
    <w:rsid w:val="00FD0A1C"/>
    <w:rsid w:val="00FD1321"/>
    <w:rsid w:val="00FD2306"/>
    <w:rsid w:val="00FD24D2"/>
    <w:rsid w:val="00FD26D3"/>
    <w:rsid w:val="00FD4350"/>
    <w:rsid w:val="00FD4912"/>
    <w:rsid w:val="00FD6BFE"/>
    <w:rsid w:val="00FD6CC7"/>
    <w:rsid w:val="00FD6DD0"/>
    <w:rsid w:val="00FD7D9C"/>
    <w:rsid w:val="00FD7DD1"/>
    <w:rsid w:val="00FD7E34"/>
    <w:rsid w:val="00FD7E4E"/>
    <w:rsid w:val="00FE1AD6"/>
    <w:rsid w:val="00FE1F64"/>
    <w:rsid w:val="00FE2218"/>
    <w:rsid w:val="00FE288B"/>
    <w:rsid w:val="00FE28D8"/>
    <w:rsid w:val="00FE2D12"/>
    <w:rsid w:val="00FE4DC6"/>
    <w:rsid w:val="00FE538D"/>
    <w:rsid w:val="00FE5833"/>
    <w:rsid w:val="00FE7090"/>
    <w:rsid w:val="00FF0252"/>
    <w:rsid w:val="00FF0E9D"/>
    <w:rsid w:val="00FF12F7"/>
    <w:rsid w:val="00FF1301"/>
    <w:rsid w:val="00FF147D"/>
    <w:rsid w:val="00FF2070"/>
    <w:rsid w:val="00FF330E"/>
    <w:rsid w:val="00FF3A94"/>
    <w:rsid w:val="00FF5582"/>
    <w:rsid w:val="00FF6138"/>
    <w:rsid w:val="00FF63EE"/>
    <w:rsid w:val="00FF6576"/>
    <w:rsid w:val="00FF6BC0"/>
    <w:rsid w:val="00FF7840"/>
    <w:rsid w:val="00FF798D"/>
    <w:rsid w:val="01271DD6"/>
    <w:rsid w:val="012F2F42"/>
    <w:rsid w:val="01303D1A"/>
    <w:rsid w:val="01521561"/>
    <w:rsid w:val="0159355E"/>
    <w:rsid w:val="01691970"/>
    <w:rsid w:val="01766BCC"/>
    <w:rsid w:val="018441BE"/>
    <w:rsid w:val="01944054"/>
    <w:rsid w:val="01A83C46"/>
    <w:rsid w:val="01F77461"/>
    <w:rsid w:val="01FD742E"/>
    <w:rsid w:val="02020A14"/>
    <w:rsid w:val="02025461"/>
    <w:rsid w:val="020C6703"/>
    <w:rsid w:val="02127836"/>
    <w:rsid w:val="022852EA"/>
    <w:rsid w:val="02421CA7"/>
    <w:rsid w:val="02654FC5"/>
    <w:rsid w:val="026B1259"/>
    <w:rsid w:val="027F2F56"/>
    <w:rsid w:val="029B44D3"/>
    <w:rsid w:val="02D069E1"/>
    <w:rsid w:val="02DB52CB"/>
    <w:rsid w:val="02DF4ACD"/>
    <w:rsid w:val="03071646"/>
    <w:rsid w:val="032964F4"/>
    <w:rsid w:val="032B0B57"/>
    <w:rsid w:val="03351867"/>
    <w:rsid w:val="035241C7"/>
    <w:rsid w:val="038F6869"/>
    <w:rsid w:val="03BD4D52"/>
    <w:rsid w:val="03DB240E"/>
    <w:rsid w:val="03F615E2"/>
    <w:rsid w:val="04116166"/>
    <w:rsid w:val="04406715"/>
    <w:rsid w:val="045525AB"/>
    <w:rsid w:val="046C750A"/>
    <w:rsid w:val="04847D84"/>
    <w:rsid w:val="04B609CB"/>
    <w:rsid w:val="04C904B8"/>
    <w:rsid w:val="04E42D80"/>
    <w:rsid w:val="04FA165B"/>
    <w:rsid w:val="05074C50"/>
    <w:rsid w:val="05157BA2"/>
    <w:rsid w:val="05305A71"/>
    <w:rsid w:val="05322D9B"/>
    <w:rsid w:val="05373674"/>
    <w:rsid w:val="05432019"/>
    <w:rsid w:val="055A7363"/>
    <w:rsid w:val="05753B42"/>
    <w:rsid w:val="058B42C8"/>
    <w:rsid w:val="058F7D28"/>
    <w:rsid w:val="05962EA0"/>
    <w:rsid w:val="05AC1AAE"/>
    <w:rsid w:val="05E05ABA"/>
    <w:rsid w:val="05E337FC"/>
    <w:rsid w:val="05ED2927"/>
    <w:rsid w:val="064A5629"/>
    <w:rsid w:val="065344DE"/>
    <w:rsid w:val="06555B9C"/>
    <w:rsid w:val="067B7666"/>
    <w:rsid w:val="06A875B8"/>
    <w:rsid w:val="06C46946"/>
    <w:rsid w:val="06CC603E"/>
    <w:rsid w:val="06D01FD2"/>
    <w:rsid w:val="06EC6840"/>
    <w:rsid w:val="06EE0E66"/>
    <w:rsid w:val="06F76370"/>
    <w:rsid w:val="07353372"/>
    <w:rsid w:val="0754675F"/>
    <w:rsid w:val="07937C68"/>
    <w:rsid w:val="079466F6"/>
    <w:rsid w:val="07AA7A5A"/>
    <w:rsid w:val="07AF1680"/>
    <w:rsid w:val="07B9447A"/>
    <w:rsid w:val="07E55609"/>
    <w:rsid w:val="08007552"/>
    <w:rsid w:val="08206B22"/>
    <w:rsid w:val="0822060B"/>
    <w:rsid w:val="082645E6"/>
    <w:rsid w:val="08690352"/>
    <w:rsid w:val="0888458F"/>
    <w:rsid w:val="088E2AB5"/>
    <w:rsid w:val="08946CE7"/>
    <w:rsid w:val="089E2D53"/>
    <w:rsid w:val="08AF5C17"/>
    <w:rsid w:val="08B3355E"/>
    <w:rsid w:val="08BF6183"/>
    <w:rsid w:val="08D00067"/>
    <w:rsid w:val="08DE3695"/>
    <w:rsid w:val="08E55262"/>
    <w:rsid w:val="08E65ADD"/>
    <w:rsid w:val="091073D8"/>
    <w:rsid w:val="0937612D"/>
    <w:rsid w:val="09436A8B"/>
    <w:rsid w:val="094B3B92"/>
    <w:rsid w:val="09601768"/>
    <w:rsid w:val="096B4234"/>
    <w:rsid w:val="0979602F"/>
    <w:rsid w:val="0995305F"/>
    <w:rsid w:val="09AA0D2D"/>
    <w:rsid w:val="09C93B0D"/>
    <w:rsid w:val="09CB082F"/>
    <w:rsid w:val="09D63EB0"/>
    <w:rsid w:val="0A004C05"/>
    <w:rsid w:val="0A0B14D6"/>
    <w:rsid w:val="0A2740F0"/>
    <w:rsid w:val="0A6E78E4"/>
    <w:rsid w:val="0A740EC6"/>
    <w:rsid w:val="0AE77147"/>
    <w:rsid w:val="0AF5789D"/>
    <w:rsid w:val="0B3A3EBE"/>
    <w:rsid w:val="0B401A80"/>
    <w:rsid w:val="0B493D92"/>
    <w:rsid w:val="0B5D7EE7"/>
    <w:rsid w:val="0B6E619D"/>
    <w:rsid w:val="0B882197"/>
    <w:rsid w:val="0BB57653"/>
    <w:rsid w:val="0BBA4FFF"/>
    <w:rsid w:val="0BBC48D3"/>
    <w:rsid w:val="0BD07742"/>
    <w:rsid w:val="0BE65DF4"/>
    <w:rsid w:val="0BF24799"/>
    <w:rsid w:val="0BFD70A2"/>
    <w:rsid w:val="0C0B3E50"/>
    <w:rsid w:val="0C0F00AD"/>
    <w:rsid w:val="0C267DB8"/>
    <w:rsid w:val="0C302630"/>
    <w:rsid w:val="0C4112ED"/>
    <w:rsid w:val="0C4E5B58"/>
    <w:rsid w:val="0C7D22B4"/>
    <w:rsid w:val="0C8C7793"/>
    <w:rsid w:val="0C9D4437"/>
    <w:rsid w:val="0CC74F06"/>
    <w:rsid w:val="0CD8573D"/>
    <w:rsid w:val="0CF34EC7"/>
    <w:rsid w:val="0CFB767D"/>
    <w:rsid w:val="0D1F4F3B"/>
    <w:rsid w:val="0D2210AE"/>
    <w:rsid w:val="0D307EAF"/>
    <w:rsid w:val="0D511A02"/>
    <w:rsid w:val="0D7322A3"/>
    <w:rsid w:val="0D8C6527"/>
    <w:rsid w:val="0DAC332F"/>
    <w:rsid w:val="0DF82377"/>
    <w:rsid w:val="0E0C2EC5"/>
    <w:rsid w:val="0E1924B1"/>
    <w:rsid w:val="0E1A4D56"/>
    <w:rsid w:val="0E2A1FC8"/>
    <w:rsid w:val="0E37224D"/>
    <w:rsid w:val="0E534F66"/>
    <w:rsid w:val="0E57251A"/>
    <w:rsid w:val="0E9A7FED"/>
    <w:rsid w:val="0EB5380F"/>
    <w:rsid w:val="0EC73CBB"/>
    <w:rsid w:val="0ECF491D"/>
    <w:rsid w:val="0EE77EB9"/>
    <w:rsid w:val="0F0B37D7"/>
    <w:rsid w:val="0F0F77A7"/>
    <w:rsid w:val="0F244845"/>
    <w:rsid w:val="0F590D1A"/>
    <w:rsid w:val="0F6B6381"/>
    <w:rsid w:val="0FC317D3"/>
    <w:rsid w:val="0FD437A9"/>
    <w:rsid w:val="0FF95C3D"/>
    <w:rsid w:val="100B65CD"/>
    <w:rsid w:val="102A63F3"/>
    <w:rsid w:val="105243C6"/>
    <w:rsid w:val="106711F7"/>
    <w:rsid w:val="10675755"/>
    <w:rsid w:val="108F04BD"/>
    <w:rsid w:val="109015C2"/>
    <w:rsid w:val="10AC760C"/>
    <w:rsid w:val="10B23EF3"/>
    <w:rsid w:val="10B411CF"/>
    <w:rsid w:val="10C7425F"/>
    <w:rsid w:val="10E82B08"/>
    <w:rsid w:val="10FF0E87"/>
    <w:rsid w:val="111F0B9C"/>
    <w:rsid w:val="11200625"/>
    <w:rsid w:val="11382C4E"/>
    <w:rsid w:val="11473EEA"/>
    <w:rsid w:val="1169556A"/>
    <w:rsid w:val="11775180"/>
    <w:rsid w:val="1193257A"/>
    <w:rsid w:val="11951E4E"/>
    <w:rsid w:val="11B423B2"/>
    <w:rsid w:val="11B91CA6"/>
    <w:rsid w:val="11C444E1"/>
    <w:rsid w:val="11C91AF8"/>
    <w:rsid w:val="11EA0E4B"/>
    <w:rsid w:val="120328B4"/>
    <w:rsid w:val="121E0DAA"/>
    <w:rsid w:val="125E4965"/>
    <w:rsid w:val="12632716"/>
    <w:rsid w:val="12896716"/>
    <w:rsid w:val="12981977"/>
    <w:rsid w:val="12AA36D7"/>
    <w:rsid w:val="12B61DAB"/>
    <w:rsid w:val="12DD62D4"/>
    <w:rsid w:val="12E51B0A"/>
    <w:rsid w:val="12F272DB"/>
    <w:rsid w:val="12F31522"/>
    <w:rsid w:val="1324792E"/>
    <w:rsid w:val="13336124"/>
    <w:rsid w:val="135457C0"/>
    <w:rsid w:val="135B0E75"/>
    <w:rsid w:val="1373584A"/>
    <w:rsid w:val="138502C3"/>
    <w:rsid w:val="13886354"/>
    <w:rsid w:val="139A5FF8"/>
    <w:rsid w:val="13DD7ADC"/>
    <w:rsid w:val="13F47DF7"/>
    <w:rsid w:val="14107459"/>
    <w:rsid w:val="141918B9"/>
    <w:rsid w:val="14397C27"/>
    <w:rsid w:val="14495172"/>
    <w:rsid w:val="144C4685"/>
    <w:rsid w:val="144E496B"/>
    <w:rsid w:val="1498126A"/>
    <w:rsid w:val="14A81E98"/>
    <w:rsid w:val="14A82C30"/>
    <w:rsid w:val="14B270BA"/>
    <w:rsid w:val="15081290"/>
    <w:rsid w:val="151508C6"/>
    <w:rsid w:val="151A5527"/>
    <w:rsid w:val="151B44F6"/>
    <w:rsid w:val="15437E13"/>
    <w:rsid w:val="157F203C"/>
    <w:rsid w:val="157F46D0"/>
    <w:rsid w:val="158100AB"/>
    <w:rsid w:val="158D108E"/>
    <w:rsid w:val="159D0C73"/>
    <w:rsid w:val="15C72DBA"/>
    <w:rsid w:val="16094BB9"/>
    <w:rsid w:val="163F773C"/>
    <w:rsid w:val="164F5F15"/>
    <w:rsid w:val="16600CC1"/>
    <w:rsid w:val="16625CD8"/>
    <w:rsid w:val="166A3509"/>
    <w:rsid w:val="16AC30DF"/>
    <w:rsid w:val="16B1482B"/>
    <w:rsid w:val="16F75359"/>
    <w:rsid w:val="16FB7973"/>
    <w:rsid w:val="16FE2244"/>
    <w:rsid w:val="171C091C"/>
    <w:rsid w:val="174009CA"/>
    <w:rsid w:val="174E1FED"/>
    <w:rsid w:val="177B3E6B"/>
    <w:rsid w:val="177E634B"/>
    <w:rsid w:val="17912EB8"/>
    <w:rsid w:val="179A0F75"/>
    <w:rsid w:val="179C3906"/>
    <w:rsid w:val="179D4117"/>
    <w:rsid w:val="17AC6144"/>
    <w:rsid w:val="17C26763"/>
    <w:rsid w:val="17C36CCC"/>
    <w:rsid w:val="17DA3589"/>
    <w:rsid w:val="17E06B8A"/>
    <w:rsid w:val="17F378CF"/>
    <w:rsid w:val="18001878"/>
    <w:rsid w:val="181F06C4"/>
    <w:rsid w:val="18302411"/>
    <w:rsid w:val="183A2FC1"/>
    <w:rsid w:val="183A32C2"/>
    <w:rsid w:val="185E047E"/>
    <w:rsid w:val="185F2BF7"/>
    <w:rsid w:val="186224AC"/>
    <w:rsid w:val="18690202"/>
    <w:rsid w:val="188934B1"/>
    <w:rsid w:val="188D3040"/>
    <w:rsid w:val="18B0756E"/>
    <w:rsid w:val="18D77748"/>
    <w:rsid w:val="18DD14DA"/>
    <w:rsid w:val="18E84B34"/>
    <w:rsid w:val="18F267C3"/>
    <w:rsid w:val="190B0C48"/>
    <w:rsid w:val="190D676E"/>
    <w:rsid w:val="190E24E6"/>
    <w:rsid w:val="191403F0"/>
    <w:rsid w:val="19232B25"/>
    <w:rsid w:val="1929486B"/>
    <w:rsid w:val="192A01E2"/>
    <w:rsid w:val="19483C4A"/>
    <w:rsid w:val="194C57FF"/>
    <w:rsid w:val="194D74B2"/>
    <w:rsid w:val="19595E57"/>
    <w:rsid w:val="196B2ACF"/>
    <w:rsid w:val="196F44D2"/>
    <w:rsid w:val="19D379B8"/>
    <w:rsid w:val="19D84FA1"/>
    <w:rsid w:val="19DB2CBB"/>
    <w:rsid w:val="19F07873"/>
    <w:rsid w:val="1A0F6EBC"/>
    <w:rsid w:val="1A1D3736"/>
    <w:rsid w:val="1A3D0518"/>
    <w:rsid w:val="1A515FF3"/>
    <w:rsid w:val="1A555EE9"/>
    <w:rsid w:val="1A864A2A"/>
    <w:rsid w:val="1A8F06C0"/>
    <w:rsid w:val="1AB95F37"/>
    <w:rsid w:val="1AE74234"/>
    <w:rsid w:val="1AF66033"/>
    <w:rsid w:val="1B142779"/>
    <w:rsid w:val="1B1738D4"/>
    <w:rsid w:val="1B2A1F5A"/>
    <w:rsid w:val="1B535AE1"/>
    <w:rsid w:val="1B577A36"/>
    <w:rsid w:val="1B697EA8"/>
    <w:rsid w:val="1B743FAF"/>
    <w:rsid w:val="1B745C58"/>
    <w:rsid w:val="1B8F3DB2"/>
    <w:rsid w:val="1B99078D"/>
    <w:rsid w:val="1BA830D3"/>
    <w:rsid w:val="1BAF5F3D"/>
    <w:rsid w:val="1BAF61FB"/>
    <w:rsid w:val="1BB80495"/>
    <w:rsid w:val="1BBE7C2C"/>
    <w:rsid w:val="1BCD38E5"/>
    <w:rsid w:val="1BE140F5"/>
    <w:rsid w:val="1BE50A74"/>
    <w:rsid w:val="1BE7599C"/>
    <w:rsid w:val="1C2312C1"/>
    <w:rsid w:val="1C2C619D"/>
    <w:rsid w:val="1C32183E"/>
    <w:rsid w:val="1C3C47F1"/>
    <w:rsid w:val="1C471A7C"/>
    <w:rsid w:val="1C4C3A51"/>
    <w:rsid w:val="1C4E5A1B"/>
    <w:rsid w:val="1C5648D0"/>
    <w:rsid w:val="1CA473E9"/>
    <w:rsid w:val="1CB56A05"/>
    <w:rsid w:val="1CC17F9B"/>
    <w:rsid w:val="1CD443E4"/>
    <w:rsid w:val="1D100F23"/>
    <w:rsid w:val="1D444728"/>
    <w:rsid w:val="1D6D4AB3"/>
    <w:rsid w:val="1D893503"/>
    <w:rsid w:val="1DBA49EB"/>
    <w:rsid w:val="1DCF0496"/>
    <w:rsid w:val="1DD60B4F"/>
    <w:rsid w:val="1DE33B05"/>
    <w:rsid w:val="1E001F3A"/>
    <w:rsid w:val="1E3A50D0"/>
    <w:rsid w:val="1E426E13"/>
    <w:rsid w:val="1E695335"/>
    <w:rsid w:val="1E7C06F9"/>
    <w:rsid w:val="1E917E41"/>
    <w:rsid w:val="1EA40C10"/>
    <w:rsid w:val="1EA447FB"/>
    <w:rsid w:val="1EAA60C9"/>
    <w:rsid w:val="1EB87F15"/>
    <w:rsid w:val="1EBE1225"/>
    <w:rsid w:val="1EC43D73"/>
    <w:rsid w:val="1ED33A02"/>
    <w:rsid w:val="1F00448B"/>
    <w:rsid w:val="1F103A29"/>
    <w:rsid w:val="1F257CB7"/>
    <w:rsid w:val="1F2F11F4"/>
    <w:rsid w:val="1F4956E2"/>
    <w:rsid w:val="1F58002D"/>
    <w:rsid w:val="1F653576"/>
    <w:rsid w:val="1F707A57"/>
    <w:rsid w:val="1F81583C"/>
    <w:rsid w:val="1F9E2712"/>
    <w:rsid w:val="1FB77434"/>
    <w:rsid w:val="1FBA6F24"/>
    <w:rsid w:val="1FC64F9A"/>
    <w:rsid w:val="1FCF190A"/>
    <w:rsid w:val="1FD27985"/>
    <w:rsid w:val="1FD44489"/>
    <w:rsid w:val="1FE67D19"/>
    <w:rsid w:val="1FE82627"/>
    <w:rsid w:val="1FF02B45"/>
    <w:rsid w:val="1FF97A4C"/>
    <w:rsid w:val="200C315E"/>
    <w:rsid w:val="20162174"/>
    <w:rsid w:val="20301692"/>
    <w:rsid w:val="203E1424"/>
    <w:rsid w:val="20467689"/>
    <w:rsid w:val="207573CE"/>
    <w:rsid w:val="20967991"/>
    <w:rsid w:val="20BD4F1E"/>
    <w:rsid w:val="20C50451"/>
    <w:rsid w:val="20C56551"/>
    <w:rsid w:val="20CB65DE"/>
    <w:rsid w:val="20DB53A4"/>
    <w:rsid w:val="20DD736E"/>
    <w:rsid w:val="20E618E5"/>
    <w:rsid w:val="210D0BD0"/>
    <w:rsid w:val="210D5FD9"/>
    <w:rsid w:val="21206377"/>
    <w:rsid w:val="213A0B3B"/>
    <w:rsid w:val="214D3F8A"/>
    <w:rsid w:val="2183759D"/>
    <w:rsid w:val="21A65900"/>
    <w:rsid w:val="21A74FC3"/>
    <w:rsid w:val="21AD1085"/>
    <w:rsid w:val="21AE2AB8"/>
    <w:rsid w:val="21CB5418"/>
    <w:rsid w:val="21E336A7"/>
    <w:rsid w:val="220A23E4"/>
    <w:rsid w:val="220F3557"/>
    <w:rsid w:val="22210702"/>
    <w:rsid w:val="22364F87"/>
    <w:rsid w:val="223B434C"/>
    <w:rsid w:val="22531D8E"/>
    <w:rsid w:val="22667ADE"/>
    <w:rsid w:val="226A5855"/>
    <w:rsid w:val="22797576"/>
    <w:rsid w:val="22A62E7F"/>
    <w:rsid w:val="22DF44C0"/>
    <w:rsid w:val="233A3D0B"/>
    <w:rsid w:val="23563407"/>
    <w:rsid w:val="23897339"/>
    <w:rsid w:val="23B57E5C"/>
    <w:rsid w:val="23BE6B3C"/>
    <w:rsid w:val="242157C3"/>
    <w:rsid w:val="24472381"/>
    <w:rsid w:val="24570E3B"/>
    <w:rsid w:val="24585DAF"/>
    <w:rsid w:val="245E62D9"/>
    <w:rsid w:val="2475327B"/>
    <w:rsid w:val="2480698E"/>
    <w:rsid w:val="248F3017"/>
    <w:rsid w:val="24AB4534"/>
    <w:rsid w:val="24E54A43"/>
    <w:rsid w:val="24ED16EB"/>
    <w:rsid w:val="250F52CC"/>
    <w:rsid w:val="25221195"/>
    <w:rsid w:val="253634F0"/>
    <w:rsid w:val="256865DD"/>
    <w:rsid w:val="25B35F37"/>
    <w:rsid w:val="25E44CFA"/>
    <w:rsid w:val="26004C54"/>
    <w:rsid w:val="26094761"/>
    <w:rsid w:val="260E444A"/>
    <w:rsid w:val="265F7503"/>
    <w:rsid w:val="2672019D"/>
    <w:rsid w:val="267F3009"/>
    <w:rsid w:val="26925FA8"/>
    <w:rsid w:val="26C63C1C"/>
    <w:rsid w:val="26CA0FBB"/>
    <w:rsid w:val="26EC4410"/>
    <w:rsid w:val="270B40B9"/>
    <w:rsid w:val="27240E93"/>
    <w:rsid w:val="27380976"/>
    <w:rsid w:val="275A093A"/>
    <w:rsid w:val="279A1B15"/>
    <w:rsid w:val="27A65A1D"/>
    <w:rsid w:val="27B65BE3"/>
    <w:rsid w:val="27C42533"/>
    <w:rsid w:val="27D27B3D"/>
    <w:rsid w:val="27D41EDF"/>
    <w:rsid w:val="27D601C3"/>
    <w:rsid w:val="27DF333E"/>
    <w:rsid w:val="27E234BC"/>
    <w:rsid w:val="2806052A"/>
    <w:rsid w:val="281C077C"/>
    <w:rsid w:val="284C51EB"/>
    <w:rsid w:val="286102AD"/>
    <w:rsid w:val="286A59E9"/>
    <w:rsid w:val="28842A2C"/>
    <w:rsid w:val="28A16934"/>
    <w:rsid w:val="28A17DCD"/>
    <w:rsid w:val="28A84674"/>
    <w:rsid w:val="28C055AB"/>
    <w:rsid w:val="28ED036A"/>
    <w:rsid w:val="290A53B0"/>
    <w:rsid w:val="293431FC"/>
    <w:rsid w:val="294B1BC7"/>
    <w:rsid w:val="295A282D"/>
    <w:rsid w:val="29605A0F"/>
    <w:rsid w:val="297F5466"/>
    <w:rsid w:val="299B54DA"/>
    <w:rsid w:val="299E1E8D"/>
    <w:rsid w:val="29BE163A"/>
    <w:rsid w:val="29C2093D"/>
    <w:rsid w:val="29DE5065"/>
    <w:rsid w:val="29EC527A"/>
    <w:rsid w:val="2A046761"/>
    <w:rsid w:val="2A0539CC"/>
    <w:rsid w:val="2A1E395A"/>
    <w:rsid w:val="2A3C5105"/>
    <w:rsid w:val="2A3C6EB3"/>
    <w:rsid w:val="2A4144C9"/>
    <w:rsid w:val="2A4A6B02"/>
    <w:rsid w:val="2A4D57CE"/>
    <w:rsid w:val="2A636B36"/>
    <w:rsid w:val="2A6B7798"/>
    <w:rsid w:val="2A8E0597"/>
    <w:rsid w:val="2A967329"/>
    <w:rsid w:val="2A9873E2"/>
    <w:rsid w:val="2AA333D6"/>
    <w:rsid w:val="2AC41771"/>
    <w:rsid w:val="2AE650FA"/>
    <w:rsid w:val="2B1234C1"/>
    <w:rsid w:val="2B1C2A88"/>
    <w:rsid w:val="2B345DDC"/>
    <w:rsid w:val="2B4A42B9"/>
    <w:rsid w:val="2B4E78CB"/>
    <w:rsid w:val="2B6761B2"/>
    <w:rsid w:val="2B6E2FA5"/>
    <w:rsid w:val="2B966A97"/>
    <w:rsid w:val="2BBA61BE"/>
    <w:rsid w:val="2BC26024"/>
    <w:rsid w:val="2BCE7FDF"/>
    <w:rsid w:val="2BD27C5D"/>
    <w:rsid w:val="2BDB26FC"/>
    <w:rsid w:val="2BEC169E"/>
    <w:rsid w:val="2C01199F"/>
    <w:rsid w:val="2C2D1D71"/>
    <w:rsid w:val="2C3379AE"/>
    <w:rsid w:val="2C57381D"/>
    <w:rsid w:val="2C580FBB"/>
    <w:rsid w:val="2C8A30AA"/>
    <w:rsid w:val="2C970E1F"/>
    <w:rsid w:val="2CB569A9"/>
    <w:rsid w:val="2CDC497D"/>
    <w:rsid w:val="2CE35EA2"/>
    <w:rsid w:val="2D124F89"/>
    <w:rsid w:val="2D5664DE"/>
    <w:rsid w:val="2D9C2DA6"/>
    <w:rsid w:val="2DBB6991"/>
    <w:rsid w:val="2DF23C4C"/>
    <w:rsid w:val="2E01716D"/>
    <w:rsid w:val="2E0C6DDF"/>
    <w:rsid w:val="2E382087"/>
    <w:rsid w:val="2E4A2626"/>
    <w:rsid w:val="2E51464F"/>
    <w:rsid w:val="2E676CF9"/>
    <w:rsid w:val="2E7A61FC"/>
    <w:rsid w:val="2E9A75B6"/>
    <w:rsid w:val="2EB3367B"/>
    <w:rsid w:val="2ECD2B5F"/>
    <w:rsid w:val="2ED718A0"/>
    <w:rsid w:val="2F193C67"/>
    <w:rsid w:val="2F3E547B"/>
    <w:rsid w:val="2F416D1A"/>
    <w:rsid w:val="2F9B28CE"/>
    <w:rsid w:val="2FA03B99"/>
    <w:rsid w:val="2FAB6CC3"/>
    <w:rsid w:val="2FAE5DB0"/>
    <w:rsid w:val="2FB40514"/>
    <w:rsid w:val="2FD828DB"/>
    <w:rsid w:val="3016361C"/>
    <w:rsid w:val="3019063E"/>
    <w:rsid w:val="301B65B7"/>
    <w:rsid w:val="30201025"/>
    <w:rsid w:val="3028070E"/>
    <w:rsid w:val="30566D3E"/>
    <w:rsid w:val="305D5DD5"/>
    <w:rsid w:val="306136BE"/>
    <w:rsid w:val="306E7316"/>
    <w:rsid w:val="30744ECD"/>
    <w:rsid w:val="30987700"/>
    <w:rsid w:val="30BD239F"/>
    <w:rsid w:val="30E455E7"/>
    <w:rsid w:val="30F1655B"/>
    <w:rsid w:val="30F524B2"/>
    <w:rsid w:val="311D44EB"/>
    <w:rsid w:val="311D4675"/>
    <w:rsid w:val="31383514"/>
    <w:rsid w:val="314825E1"/>
    <w:rsid w:val="31630496"/>
    <w:rsid w:val="317653A0"/>
    <w:rsid w:val="319B4E07"/>
    <w:rsid w:val="31CD6F8B"/>
    <w:rsid w:val="31E074ED"/>
    <w:rsid w:val="32132BEF"/>
    <w:rsid w:val="3215618D"/>
    <w:rsid w:val="32262A78"/>
    <w:rsid w:val="32372AF3"/>
    <w:rsid w:val="32496611"/>
    <w:rsid w:val="32616F16"/>
    <w:rsid w:val="326B4B87"/>
    <w:rsid w:val="32780CA4"/>
    <w:rsid w:val="3278255C"/>
    <w:rsid w:val="32944C82"/>
    <w:rsid w:val="32987CFE"/>
    <w:rsid w:val="329D23D0"/>
    <w:rsid w:val="32C7674E"/>
    <w:rsid w:val="32E12CEE"/>
    <w:rsid w:val="32FE79CB"/>
    <w:rsid w:val="33056347"/>
    <w:rsid w:val="332E1CAB"/>
    <w:rsid w:val="33335541"/>
    <w:rsid w:val="333A2653"/>
    <w:rsid w:val="335A484E"/>
    <w:rsid w:val="3361179F"/>
    <w:rsid w:val="33902A44"/>
    <w:rsid w:val="33A56EA1"/>
    <w:rsid w:val="33AE6A5E"/>
    <w:rsid w:val="33BE0586"/>
    <w:rsid w:val="33D94456"/>
    <w:rsid w:val="342033A2"/>
    <w:rsid w:val="34256C0A"/>
    <w:rsid w:val="34321327"/>
    <w:rsid w:val="347E365D"/>
    <w:rsid w:val="347F1557"/>
    <w:rsid w:val="348C6C89"/>
    <w:rsid w:val="34977D04"/>
    <w:rsid w:val="349C1AFD"/>
    <w:rsid w:val="34A915E9"/>
    <w:rsid w:val="34AD0369"/>
    <w:rsid w:val="34DA79F4"/>
    <w:rsid w:val="351A0207"/>
    <w:rsid w:val="351B4D2E"/>
    <w:rsid w:val="35222508"/>
    <w:rsid w:val="352407D9"/>
    <w:rsid w:val="35577B79"/>
    <w:rsid w:val="356D3AFB"/>
    <w:rsid w:val="35850DC3"/>
    <w:rsid w:val="35903EA1"/>
    <w:rsid w:val="35A3072E"/>
    <w:rsid w:val="35A94B31"/>
    <w:rsid w:val="35BD3FB7"/>
    <w:rsid w:val="35CB12F8"/>
    <w:rsid w:val="35DF7EF0"/>
    <w:rsid w:val="360A35C3"/>
    <w:rsid w:val="360B3709"/>
    <w:rsid w:val="361368F3"/>
    <w:rsid w:val="3627628E"/>
    <w:rsid w:val="362A0307"/>
    <w:rsid w:val="36590644"/>
    <w:rsid w:val="365B6913"/>
    <w:rsid w:val="369D1D15"/>
    <w:rsid w:val="36A75FFC"/>
    <w:rsid w:val="36E46B3D"/>
    <w:rsid w:val="36FD5C1C"/>
    <w:rsid w:val="37021484"/>
    <w:rsid w:val="3733163E"/>
    <w:rsid w:val="373E1CFE"/>
    <w:rsid w:val="37695060"/>
    <w:rsid w:val="378C567B"/>
    <w:rsid w:val="3797463F"/>
    <w:rsid w:val="379B6047"/>
    <w:rsid w:val="37D22C05"/>
    <w:rsid w:val="37DF5322"/>
    <w:rsid w:val="3809239F"/>
    <w:rsid w:val="38157F0F"/>
    <w:rsid w:val="38520B06"/>
    <w:rsid w:val="38574E48"/>
    <w:rsid w:val="387008E2"/>
    <w:rsid w:val="387803EF"/>
    <w:rsid w:val="38844383"/>
    <w:rsid w:val="38B8267E"/>
    <w:rsid w:val="38C50281"/>
    <w:rsid w:val="38EC421C"/>
    <w:rsid w:val="3918707F"/>
    <w:rsid w:val="391E0DA1"/>
    <w:rsid w:val="394A6394"/>
    <w:rsid w:val="394D308E"/>
    <w:rsid w:val="396100F4"/>
    <w:rsid w:val="3963760F"/>
    <w:rsid w:val="396B6327"/>
    <w:rsid w:val="397B20D6"/>
    <w:rsid w:val="39A2009D"/>
    <w:rsid w:val="39A41629"/>
    <w:rsid w:val="39E3245E"/>
    <w:rsid w:val="3A102D53"/>
    <w:rsid w:val="3A2D3D16"/>
    <w:rsid w:val="3A4E17C9"/>
    <w:rsid w:val="3A5169AB"/>
    <w:rsid w:val="3A52406C"/>
    <w:rsid w:val="3A576403"/>
    <w:rsid w:val="3A6054A3"/>
    <w:rsid w:val="3A6D1368"/>
    <w:rsid w:val="3A830A46"/>
    <w:rsid w:val="3A990EF2"/>
    <w:rsid w:val="3AB40CE8"/>
    <w:rsid w:val="3ACA07AD"/>
    <w:rsid w:val="3ADB7689"/>
    <w:rsid w:val="3ADC389C"/>
    <w:rsid w:val="3AE570F3"/>
    <w:rsid w:val="3B2F4DD6"/>
    <w:rsid w:val="3B4E4C98"/>
    <w:rsid w:val="3B5C5D9A"/>
    <w:rsid w:val="3B5E52BE"/>
    <w:rsid w:val="3B5F6EA5"/>
    <w:rsid w:val="3B625333"/>
    <w:rsid w:val="3B7017EA"/>
    <w:rsid w:val="3BB5271A"/>
    <w:rsid w:val="3BC82B1C"/>
    <w:rsid w:val="3BDB14B0"/>
    <w:rsid w:val="3BEA7782"/>
    <w:rsid w:val="3BEB061E"/>
    <w:rsid w:val="3BF27565"/>
    <w:rsid w:val="3C0951B3"/>
    <w:rsid w:val="3C3302D7"/>
    <w:rsid w:val="3C353CC0"/>
    <w:rsid w:val="3C467DC8"/>
    <w:rsid w:val="3C6E4EC6"/>
    <w:rsid w:val="3C7760C4"/>
    <w:rsid w:val="3C7777A7"/>
    <w:rsid w:val="3C7B0889"/>
    <w:rsid w:val="3C8C2C34"/>
    <w:rsid w:val="3C922B4F"/>
    <w:rsid w:val="3C9E39FD"/>
    <w:rsid w:val="3CC046A2"/>
    <w:rsid w:val="3CCF38F6"/>
    <w:rsid w:val="3CD45671"/>
    <w:rsid w:val="3CF71CE7"/>
    <w:rsid w:val="3D000214"/>
    <w:rsid w:val="3D1E4C3B"/>
    <w:rsid w:val="3D1E691D"/>
    <w:rsid w:val="3D5A50F1"/>
    <w:rsid w:val="3D74650C"/>
    <w:rsid w:val="3D7B3D3F"/>
    <w:rsid w:val="3D9B1CEB"/>
    <w:rsid w:val="3D9F78E8"/>
    <w:rsid w:val="3DA74367"/>
    <w:rsid w:val="3DA77C6B"/>
    <w:rsid w:val="3DCB6A74"/>
    <w:rsid w:val="3DDF6C58"/>
    <w:rsid w:val="3E0369FF"/>
    <w:rsid w:val="3E045AE2"/>
    <w:rsid w:val="3E1D4DF6"/>
    <w:rsid w:val="3E3C196E"/>
    <w:rsid w:val="3E436054"/>
    <w:rsid w:val="3E4E3DAA"/>
    <w:rsid w:val="3E55633E"/>
    <w:rsid w:val="3E5578F7"/>
    <w:rsid w:val="3E690077"/>
    <w:rsid w:val="3E6F61C8"/>
    <w:rsid w:val="3E737144"/>
    <w:rsid w:val="3E845A72"/>
    <w:rsid w:val="3E9B5EAE"/>
    <w:rsid w:val="3EAB270B"/>
    <w:rsid w:val="3ECB752E"/>
    <w:rsid w:val="3ECD6EDB"/>
    <w:rsid w:val="3EDB03C9"/>
    <w:rsid w:val="3EDB4A95"/>
    <w:rsid w:val="3EE020AB"/>
    <w:rsid w:val="3F0365C7"/>
    <w:rsid w:val="3F0572FC"/>
    <w:rsid w:val="3F161F71"/>
    <w:rsid w:val="3F34107D"/>
    <w:rsid w:val="3F36616F"/>
    <w:rsid w:val="3F3E3276"/>
    <w:rsid w:val="3F4B2B31"/>
    <w:rsid w:val="3F590759"/>
    <w:rsid w:val="3F740A45"/>
    <w:rsid w:val="3F9F4A26"/>
    <w:rsid w:val="3FA02017"/>
    <w:rsid w:val="3FAF6A7A"/>
    <w:rsid w:val="3FCC680A"/>
    <w:rsid w:val="3FE6152D"/>
    <w:rsid w:val="3FF676AC"/>
    <w:rsid w:val="403802D6"/>
    <w:rsid w:val="40555132"/>
    <w:rsid w:val="41034B45"/>
    <w:rsid w:val="41076FBE"/>
    <w:rsid w:val="41265D6F"/>
    <w:rsid w:val="412E15F2"/>
    <w:rsid w:val="41377F7D"/>
    <w:rsid w:val="414325DD"/>
    <w:rsid w:val="41566655"/>
    <w:rsid w:val="41640F81"/>
    <w:rsid w:val="41664599"/>
    <w:rsid w:val="417415D8"/>
    <w:rsid w:val="41760AA5"/>
    <w:rsid w:val="41782A6F"/>
    <w:rsid w:val="419B050B"/>
    <w:rsid w:val="419C2D5B"/>
    <w:rsid w:val="41AA4248"/>
    <w:rsid w:val="41E35510"/>
    <w:rsid w:val="41ED1F0D"/>
    <w:rsid w:val="42127A43"/>
    <w:rsid w:val="42436AC2"/>
    <w:rsid w:val="4246536E"/>
    <w:rsid w:val="425914C6"/>
    <w:rsid w:val="4265277D"/>
    <w:rsid w:val="42832BEC"/>
    <w:rsid w:val="42A258CA"/>
    <w:rsid w:val="42C1294D"/>
    <w:rsid w:val="42CA37F1"/>
    <w:rsid w:val="43120CA1"/>
    <w:rsid w:val="4320610A"/>
    <w:rsid w:val="432372CD"/>
    <w:rsid w:val="434034B6"/>
    <w:rsid w:val="43854DD3"/>
    <w:rsid w:val="439F6C10"/>
    <w:rsid w:val="43B27D8E"/>
    <w:rsid w:val="43B5495B"/>
    <w:rsid w:val="43DB451C"/>
    <w:rsid w:val="440C6296"/>
    <w:rsid w:val="4439672E"/>
    <w:rsid w:val="443F5AC6"/>
    <w:rsid w:val="44541938"/>
    <w:rsid w:val="446472DA"/>
    <w:rsid w:val="446C7E18"/>
    <w:rsid w:val="447216E2"/>
    <w:rsid w:val="447B4624"/>
    <w:rsid w:val="4490442C"/>
    <w:rsid w:val="44910D58"/>
    <w:rsid w:val="44A90E06"/>
    <w:rsid w:val="44E35960"/>
    <w:rsid w:val="44F17B6A"/>
    <w:rsid w:val="45016D96"/>
    <w:rsid w:val="452E62DF"/>
    <w:rsid w:val="45505AB1"/>
    <w:rsid w:val="45527B79"/>
    <w:rsid w:val="45560523"/>
    <w:rsid w:val="45770A2E"/>
    <w:rsid w:val="45800144"/>
    <w:rsid w:val="45B80AFE"/>
    <w:rsid w:val="45D748E9"/>
    <w:rsid w:val="45E734C0"/>
    <w:rsid w:val="45ED50AE"/>
    <w:rsid w:val="45EF0E26"/>
    <w:rsid w:val="45F97BB7"/>
    <w:rsid w:val="46080E99"/>
    <w:rsid w:val="46244F73"/>
    <w:rsid w:val="46310309"/>
    <w:rsid w:val="464737F7"/>
    <w:rsid w:val="46493794"/>
    <w:rsid w:val="464B0540"/>
    <w:rsid w:val="46937E64"/>
    <w:rsid w:val="46A22B1A"/>
    <w:rsid w:val="46AF1C1C"/>
    <w:rsid w:val="46FA08B2"/>
    <w:rsid w:val="46FD0A72"/>
    <w:rsid w:val="47267C30"/>
    <w:rsid w:val="472B23A9"/>
    <w:rsid w:val="472E0158"/>
    <w:rsid w:val="4771776C"/>
    <w:rsid w:val="47C655AE"/>
    <w:rsid w:val="48195648"/>
    <w:rsid w:val="482254E2"/>
    <w:rsid w:val="482E032B"/>
    <w:rsid w:val="483C2FB5"/>
    <w:rsid w:val="483D40CA"/>
    <w:rsid w:val="48517B76"/>
    <w:rsid w:val="486A56D0"/>
    <w:rsid w:val="4876582E"/>
    <w:rsid w:val="48814D1C"/>
    <w:rsid w:val="488E044C"/>
    <w:rsid w:val="488E4C64"/>
    <w:rsid w:val="48A67A5A"/>
    <w:rsid w:val="48C42A2D"/>
    <w:rsid w:val="48D125A4"/>
    <w:rsid w:val="48E46C1F"/>
    <w:rsid w:val="48F7696F"/>
    <w:rsid w:val="48FF5824"/>
    <w:rsid w:val="490270C2"/>
    <w:rsid w:val="498045A0"/>
    <w:rsid w:val="49AD5BED"/>
    <w:rsid w:val="49CE4E75"/>
    <w:rsid w:val="49CF7AFB"/>
    <w:rsid w:val="49D03F69"/>
    <w:rsid w:val="49ED1B20"/>
    <w:rsid w:val="4A006961"/>
    <w:rsid w:val="4A282B58"/>
    <w:rsid w:val="4A404346"/>
    <w:rsid w:val="4A9D7A9D"/>
    <w:rsid w:val="4AC94B13"/>
    <w:rsid w:val="4AD20B62"/>
    <w:rsid w:val="4AE051E1"/>
    <w:rsid w:val="4AF64A04"/>
    <w:rsid w:val="4B043438"/>
    <w:rsid w:val="4B2532CA"/>
    <w:rsid w:val="4B49547C"/>
    <w:rsid w:val="4B4C0AC8"/>
    <w:rsid w:val="4B5C0D0B"/>
    <w:rsid w:val="4B687796"/>
    <w:rsid w:val="4B6978CC"/>
    <w:rsid w:val="4B75159C"/>
    <w:rsid w:val="4B8C3A23"/>
    <w:rsid w:val="4BA641EE"/>
    <w:rsid w:val="4BAA3321"/>
    <w:rsid w:val="4BC32B39"/>
    <w:rsid w:val="4BEC2359"/>
    <w:rsid w:val="4BF43ADF"/>
    <w:rsid w:val="4C1A4723"/>
    <w:rsid w:val="4C516396"/>
    <w:rsid w:val="4C644720"/>
    <w:rsid w:val="4C6D7E93"/>
    <w:rsid w:val="4C774BE5"/>
    <w:rsid w:val="4C883474"/>
    <w:rsid w:val="4CE25818"/>
    <w:rsid w:val="4CEC71D0"/>
    <w:rsid w:val="4D007DBC"/>
    <w:rsid w:val="4D43247E"/>
    <w:rsid w:val="4D5351B9"/>
    <w:rsid w:val="4D575339"/>
    <w:rsid w:val="4D6A1C3E"/>
    <w:rsid w:val="4D84165B"/>
    <w:rsid w:val="4D900ABE"/>
    <w:rsid w:val="4DA8648A"/>
    <w:rsid w:val="4DB832E9"/>
    <w:rsid w:val="4DBD453B"/>
    <w:rsid w:val="4DC614FB"/>
    <w:rsid w:val="4DD53459"/>
    <w:rsid w:val="4DD92AE7"/>
    <w:rsid w:val="4DD94895"/>
    <w:rsid w:val="4DDF79D2"/>
    <w:rsid w:val="4DE35256"/>
    <w:rsid w:val="4E017689"/>
    <w:rsid w:val="4E453CD9"/>
    <w:rsid w:val="4E4837C9"/>
    <w:rsid w:val="4E623FD7"/>
    <w:rsid w:val="4E79773A"/>
    <w:rsid w:val="4E9D56D9"/>
    <w:rsid w:val="4EA36C51"/>
    <w:rsid w:val="4ECC43FA"/>
    <w:rsid w:val="4EE43634"/>
    <w:rsid w:val="4EED1BAD"/>
    <w:rsid w:val="4F012F3C"/>
    <w:rsid w:val="4F1E28EA"/>
    <w:rsid w:val="4F4915A7"/>
    <w:rsid w:val="4F6F1BB2"/>
    <w:rsid w:val="4F7D74A2"/>
    <w:rsid w:val="4F9F3ABC"/>
    <w:rsid w:val="4FB3613C"/>
    <w:rsid w:val="4FB54C04"/>
    <w:rsid w:val="4FBF3F5F"/>
    <w:rsid w:val="4FDF68CD"/>
    <w:rsid w:val="4FFD0694"/>
    <w:rsid w:val="500F2F94"/>
    <w:rsid w:val="502C6291"/>
    <w:rsid w:val="50324731"/>
    <w:rsid w:val="50622713"/>
    <w:rsid w:val="50687923"/>
    <w:rsid w:val="50812DC1"/>
    <w:rsid w:val="50B60AA4"/>
    <w:rsid w:val="50BD3EEC"/>
    <w:rsid w:val="51080630"/>
    <w:rsid w:val="51094009"/>
    <w:rsid w:val="511B6F73"/>
    <w:rsid w:val="51256F24"/>
    <w:rsid w:val="51586C14"/>
    <w:rsid w:val="516C3B8C"/>
    <w:rsid w:val="51CB2747"/>
    <w:rsid w:val="51CB6BEB"/>
    <w:rsid w:val="51CC64BF"/>
    <w:rsid w:val="522105B9"/>
    <w:rsid w:val="52264FD2"/>
    <w:rsid w:val="52366141"/>
    <w:rsid w:val="524602D4"/>
    <w:rsid w:val="527A2D5A"/>
    <w:rsid w:val="5296438C"/>
    <w:rsid w:val="52BF1C03"/>
    <w:rsid w:val="52CC454F"/>
    <w:rsid w:val="52D45776"/>
    <w:rsid w:val="52FB7F7A"/>
    <w:rsid w:val="53147604"/>
    <w:rsid w:val="533D6082"/>
    <w:rsid w:val="5358625C"/>
    <w:rsid w:val="536C7F5A"/>
    <w:rsid w:val="53B2196B"/>
    <w:rsid w:val="53B4545D"/>
    <w:rsid w:val="53B5395B"/>
    <w:rsid w:val="53B63B53"/>
    <w:rsid w:val="53D004E8"/>
    <w:rsid w:val="53D417AF"/>
    <w:rsid w:val="53E20805"/>
    <w:rsid w:val="53F0508B"/>
    <w:rsid w:val="54046B0C"/>
    <w:rsid w:val="542A74ED"/>
    <w:rsid w:val="5455279C"/>
    <w:rsid w:val="546E41E6"/>
    <w:rsid w:val="5471208C"/>
    <w:rsid w:val="548E4408"/>
    <w:rsid w:val="549657A8"/>
    <w:rsid w:val="549A14BF"/>
    <w:rsid w:val="54CB2AD6"/>
    <w:rsid w:val="54D9517B"/>
    <w:rsid w:val="54DB0EF2"/>
    <w:rsid w:val="55203A6D"/>
    <w:rsid w:val="55254864"/>
    <w:rsid w:val="554331DB"/>
    <w:rsid w:val="554F0614"/>
    <w:rsid w:val="555B47FD"/>
    <w:rsid w:val="556C1686"/>
    <w:rsid w:val="556D0467"/>
    <w:rsid w:val="556E7FB9"/>
    <w:rsid w:val="556F7038"/>
    <w:rsid w:val="557B26D6"/>
    <w:rsid w:val="557F21C6"/>
    <w:rsid w:val="55BB0D24"/>
    <w:rsid w:val="55BB4D46"/>
    <w:rsid w:val="55FA6408"/>
    <w:rsid w:val="55FC102D"/>
    <w:rsid w:val="560570BB"/>
    <w:rsid w:val="56416347"/>
    <w:rsid w:val="566749AA"/>
    <w:rsid w:val="56AD00C2"/>
    <w:rsid w:val="56DE4649"/>
    <w:rsid w:val="56EA18C1"/>
    <w:rsid w:val="57037873"/>
    <w:rsid w:val="572A60E0"/>
    <w:rsid w:val="572D7A00"/>
    <w:rsid w:val="573B13E0"/>
    <w:rsid w:val="57637240"/>
    <w:rsid w:val="578A30A4"/>
    <w:rsid w:val="578F06BB"/>
    <w:rsid w:val="57C8426F"/>
    <w:rsid w:val="57CC6A6C"/>
    <w:rsid w:val="57D6204F"/>
    <w:rsid w:val="57D97FC9"/>
    <w:rsid w:val="57DA173D"/>
    <w:rsid w:val="57E45942"/>
    <w:rsid w:val="57F14ED1"/>
    <w:rsid w:val="58021416"/>
    <w:rsid w:val="580764D7"/>
    <w:rsid w:val="581A6436"/>
    <w:rsid w:val="58333EAD"/>
    <w:rsid w:val="586946CE"/>
    <w:rsid w:val="586B4C84"/>
    <w:rsid w:val="58737694"/>
    <w:rsid w:val="58EB7B73"/>
    <w:rsid w:val="58FD62BE"/>
    <w:rsid w:val="590D2FBB"/>
    <w:rsid w:val="59395B36"/>
    <w:rsid w:val="595C4554"/>
    <w:rsid w:val="59657925"/>
    <w:rsid w:val="59733858"/>
    <w:rsid w:val="59802E2A"/>
    <w:rsid w:val="59804CBF"/>
    <w:rsid w:val="59882670"/>
    <w:rsid w:val="598B4588"/>
    <w:rsid w:val="59BB3BF1"/>
    <w:rsid w:val="59BE5287"/>
    <w:rsid w:val="59DE5BE1"/>
    <w:rsid w:val="59E3084A"/>
    <w:rsid w:val="59E6516D"/>
    <w:rsid w:val="59F4020E"/>
    <w:rsid w:val="59F4399B"/>
    <w:rsid w:val="5A174DB3"/>
    <w:rsid w:val="5A286918"/>
    <w:rsid w:val="5A336BA4"/>
    <w:rsid w:val="5A463669"/>
    <w:rsid w:val="5A6574B1"/>
    <w:rsid w:val="5AB74009"/>
    <w:rsid w:val="5B034D39"/>
    <w:rsid w:val="5B1E7D8B"/>
    <w:rsid w:val="5B4C7F32"/>
    <w:rsid w:val="5B683608"/>
    <w:rsid w:val="5B7C3F5A"/>
    <w:rsid w:val="5B7C6858"/>
    <w:rsid w:val="5B826CF6"/>
    <w:rsid w:val="5B9C78E5"/>
    <w:rsid w:val="5BAB4317"/>
    <w:rsid w:val="5BC433D0"/>
    <w:rsid w:val="5BC76675"/>
    <w:rsid w:val="5BE0081B"/>
    <w:rsid w:val="5BE2525D"/>
    <w:rsid w:val="5C0F3B78"/>
    <w:rsid w:val="5C1173ED"/>
    <w:rsid w:val="5C241616"/>
    <w:rsid w:val="5C2A29AD"/>
    <w:rsid w:val="5C401014"/>
    <w:rsid w:val="5C5207F6"/>
    <w:rsid w:val="5C6B58B1"/>
    <w:rsid w:val="5CA00C74"/>
    <w:rsid w:val="5CB16ECF"/>
    <w:rsid w:val="5CC44962"/>
    <w:rsid w:val="5CDA3BBB"/>
    <w:rsid w:val="5CEC5C67"/>
    <w:rsid w:val="5CF8460C"/>
    <w:rsid w:val="5D072AA1"/>
    <w:rsid w:val="5D2128BE"/>
    <w:rsid w:val="5D5558A3"/>
    <w:rsid w:val="5D792F09"/>
    <w:rsid w:val="5D7F0487"/>
    <w:rsid w:val="5D8D744A"/>
    <w:rsid w:val="5D8F7CDF"/>
    <w:rsid w:val="5DEF1A58"/>
    <w:rsid w:val="5E1319FB"/>
    <w:rsid w:val="5E2859F4"/>
    <w:rsid w:val="5E3E6381"/>
    <w:rsid w:val="5ED5716B"/>
    <w:rsid w:val="5EED7A53"/>
    <w:rsid w:val="5EF92FA6"/>
    <w:rsid w:val="5F0279C4"/>
    <w:rsid w:val="5F076875"/>
    <w:rsid w:val="5F16521D"/>
    <w:rsid w:val="5F4905E3"/>
    <w:rsid w:val="5F49114F"/>
    <w:rsid w:val="5F520D51"/>
    <w:rsid w:val="5F6A0A2B"/>
    <w:rsid w:val="5F6E6E08"/>
    <w:rsid w:val="5FAE5456"/>
    <w:rsid w:val="5FB962D5"/>
    <w:rsid w:val="5FBB567F"/>
    <w:rsid w:val="5FD56E87"/>
    <w:rsid w:val="5FF72320"/>
    <w:rsid w:val="60611D0B"/>
    <w:rsid w:val="60824F39"/>
    <w:rsid w:val="608B5D2F"/>
    <w:rsid w:val="608E59B3"/>
    <w:rsid w:val="60A25EAE"/>
    <w:rsid w:val="60D32666"/>
    <w:rsid w:val="611550E1"/>
    <w:rsid w:val="614B0D31"/>
    <w:rsid w:val="6184443F"/>
    <w:rsid w:val="61994D95"/>
    <w:rsid w:val="61A3501F"/>
    <w:rsid w:val="61DC274E"/>
    <w:rsid w:val="61E001DC"/>
    <w:rsid w:val="61E378BD"/>
    <w:rsid w:val="61EC7C5C"/>
    <w:rsid w:val="62122F41"/>
    <w:rsid w:val="621464F7"/>
    <w:rsid w:val="62480FF2"/>
    <w:rsid w:val="62810954"/>
    <w:rsid w:val="62B87355"/>
    <w:rsid w:val="62CC1ED5"/>
    <w:rsid w:val="62F615EE"/>
    <w:rsid w:val="62FE68A1"/>
    <w:rsid w:val="631B5A25"/>
    <w:rsid w:val="632153B0"/>
    <w:rsid w:val="63353BF6"/>
    <w:rsid w:val="635570EF"/>
    <w:rsid w:val="63D74F7B"/>
    <w:rsid w:val="63DA6A02"/>
    <w:rsid w:val="63FD2E7C"/>
    <w:rsid w:val="64277968"/>
    <w:rsid w:val="642C0D5B"/>
    <w:rsid w:val="643C68C4"/>
    <w:rsid w:val="644D348F"/>
    <w:rsid w:val="645E3F37"/>
    <w:rsid w:val="64614B24"/>
    <w:rsid w:val="646C2F1D"/>
    <w:rsid w:val="64983C98"/>
    <w:rsid w:val="64987B0E"/>
    <w:rsid w:val="649D5341"/>
    <w:rsid w:val="64B101D5"/>
    <w:rsid w:val="64B37B68"/>
    <w:rsid w:val="64F14312"/>
    <w:rsid w:val="650F31A6"/>
    <w:rsid w:val="651542BD"/>
    <w:rsid w:val="65186908"/>
    <w:rsid w:val="651F62C4"/>
    <w:rsid w:val="652935EF"/>
    <w:rsid w:val="65421786"/>
    <w:rsid w:val="65476131"/>
    <w:rsid w:val="655B398A"/>
    <w:rsid w:val="656C5B97"/>
    <w:rsid w:val="657B6143"/>
    <w:rsid w:val="65961DE8"/>
    <w:rsid w:val="65A05841"/>
    <w:rsid w:val="65A05965"/>
    <w:rsid w:val="65AB7537"/>
    <w:rsid w:val="65B344E8"/>
    <w:rsid w:val="65CB505D"/>
    <w:rsid w:val="65D50E4D"/>
    <w:rsid w:val="65F24090"/>
    <w:rsid w:val="65F77B57"/>
    <w:rsid w:val="6623094C"/>
    <w:rsid w:val="66522FDF"/>
    <w:rsid w:val="66594662"/>
    <w:rsid w:val="6660348D"/>
    <w:rsid w:val="667901A1"/>
    <w:rsid w:val="66837ED2"/>
    <w:rsid w:val="66BE5083"/>
    <w:rsid w:val="66E5373F"/>
    <w:rsid w:val="670C0284"/>
    <w:rsid w:val="67323FAF"/>
    <w:rsid w:val="675E1ACA"/>
    <w:rsid w:val="67686A71"/>
    <w:rsid w:val="676E209B"/>
    <w:rsid w:val="67852F40"/>
    <w:rsid w:val="67B1199D"/>
    <w:rsid w:val="67B11F87"/>
    <w:rsid w:val="67C779FD"/>
    <w:rsid w:val="67E960B7"/>
    <w:rsid w:val="67EB0F59"/>
    <w:rsid w:val="6826703F"/>
    <w:rsid w:val="6850354E"/>
    <w:rsid w:val="68663AB7"/>
    <w:rsid w:val="68817BAC"/>
    <w:rsid w:val="68875EAA"/>
    <w:rsid w:val="68902A3B"/>
    <w:rsid w:val="68995BA9"/>
    <w:rsid w:val="68BD638E"/>
    <w:rsid w:val="68D0643D"/>
    <w:rsid w:val="68E67B57"/>
    <w:rsid w:val="68EF1B73"/>
    <w:rsid w:val="68FF6AA7"/>
    <w:rsid w:val="690778D5"/>
    <w:rsid w:val="69284E65"/>
    <w:rsid w:val="69434E61"/>
    <w:rsid w:val="694F2832"/>
    <w:rsid w:val="695E7EED"/>
    <w:rsid w:val="696A53D4"/>
    <w:rsid w:val="6981636C"/>
    <w:rsid w:val="69821B27"/>
    <w:rsid w:val="69987898"/>
    <w:rsid w:val="69AE6263"/>
    <w:rsid w:val="69C00E2B"/>
    <w:rsid w:val="69D57A23"/>
    <w:rsid w:val="69EC2530"/>
    <w:rsid w:val="69F14CBF"/>
    <w:rsid w:val="6A06480C"/>
    <w:rsid w:val="6A0F6B9E"/>
    <w:rsid w:val="6A3430A0"/>
    <w:rsid w:val="6A5D01A4"/>
    <w:rsid w:val="6A637A35"/>
    <w:rsid w:val="6A6B2C48"/>
    <w:rsid w:val="6A7327BB"/>
    <w:rsid w:val="6A7D6F13"/>
    <w:rsid w:val="6A86143C"/>
    <w:rsid w:val="6AA14535"/>
    <w:rsid w:val="6AB00319"/>
    <w:rsid w:val="6AE306AA"/>
    <w:rsid w:val="6AF22096"/>
    <w:rsid w:val="6AF73FBC"/>
    <w:rsid w:val="6B4329B7"/>
    <w:rsid w:val="6B44347E"/>
    <w:rsid w:val="6B6B5222"/>
    <w:rsid w:val="6B7E6624"/>
    <w:rsid w:val="6B840835"/>
    <w:rsid w:val="6BA5119B"/>
    <w:rsid w:val="6BA77929"/>
    <w:rsid w:val="6C06111F"/>
    <w:rsid w:val="6C0E5F5E"/>
    <w:rsid w:val="6C15268B"/>
    <w:rsid w:val="6C2947E2"/>
    <w:rsid w:val="6C3E69CA"/>
    <w:rsid w:val="6C5506F2"/>
    <w:rsid w:val="6C9062C4"/>
    <w:rsid w:val="6CCF5389"/>
    <w:rsid w:val="6CD30E0D"/>
    <w:rsid w:val="6CEE1249"/>
    <w:rsid w:val="6CFE5C6F"/>
    <w:rsid w:val="6D047526"/>
    <w:rsid w:val="6D0646EC"/>
    <w:rsid w:val="6D105EA0"/>
    <w:rsid w:val="6D162FB8"/>
    <w:rsid w:val="6D4C314B"/>
    <w:rsid w:val="6D5E04BB"/>
    <w:rsid w:val="6D651656"/>
    <w:rsid w:val="6D6D4696"/>
    <w:rsid w:val="6D7A0F67"/>
    <w:rsid w:val="6D803D13"/>
    <w:rsid w:val="6D814935"/>
    <w:rsid w:val="6D9D7236"/>
    <w:rsid w:val="6DA16FF5"/>
    <w:rsid w:val="6DAC56CB"/>
    <w:rsid w:val="6DC01176"/>
    <w:rsid w:val="6E0B4AF9"/>
    <w:rsid w:val="6E1E6F6C"/>
    <w:rsid w:val="6E217E67"/>
    <w:rsid w:val="6E3B6A4F"/>
    <w:rsid w:val="6E4C0C5C"/>
    <w:rsid w:val="6E6804BE"/>
    <w:rsid w:val="6E9E0991"/>
    <w:rsid w:val="6EC72090"/>
    <w:rsid w:val="6EE80766"/>
    <w:rsid w:val="6EEC162A"/>
    <w:rsid w:val="6EFC40AD"/>
    <w:rsid w:val="6F090A07"/>
    <w:rsid w:val="6F0E065B"/>
    <w:rsid w:val="6F19045A"/>
    <w:rsid w:val="6F382A0B"/>
    <w:rsid w:val="6F3B4F58"/>
    <w:rsid w:val="6F4F4834"/>
    <w:rsid w:val="6F655B31"/>
    <w:rsid w:val="6F6C6D1D"/>
    <w:rsid w:val="6F9E69D2"/>
    <w:rsid w:val="6FAD572A"/>
    <w:rsid w:val="6FEF7AF1"/>
    <w:rsid w:val="6FF46EB5"/>
    <w:rsid w:val="702F2C49"/>
    <w:rsid w:val="703C3039"/>
    <w:rsid w:val="703D085C"/>
    <w:rsid w:val="70455CF4"/>
    <w:rsid w:val="705604C3"/>
    <w:rsid w:val="705C4D2F"/>
    <w:rsid w:val="70717F5F"/>
    <w:rsid w:val="70862F2F"/>
    <w:rsid w:val="70B7060E"/>
    <w:rsid w:val="70BA4496"/>
    <w:rsid w:val="70BE1B2A"/>
    <w:rsid w:val="70C4348D"/>
    <w:rsid w:val="70C66AA3"/>
    <w:rsid w:val="70D137F3"/>
    <w:rsid w:val="70DC41AD"/>
    <w:rsid w:val="711D7A0E"/>
    <w:rsid w:val="713E2915"/>
    <w:rsid w:val="71410698"/>
    <w:rsid w:val="714B0D57"/>
    <w:rsid w:val="715A3341"/>
    <w:rsid w:val="71620C11"/>
    <w:rsid w:val="71C05268"/>
    <w:rsid w:val="71CA07BD"/>
    <w:rsid w:val="71D7672B"/>
    <w:rsid w:val="71E218B4"/>
    <w:rsid w:val="71F91B51"/>
    <w:rsid w:val="720C1C2E"/>
    <w:rsid w:val="721D26F3"/>
    <w:rsid w:val="724246BC"/>
    <w:rsid w:val="725014FF"/>
    <w:rsid w:val="726245AA"/>
    <w:rsid w:val="72696F06"/>
    <w:rsid w:val="72791DF7"/>
    <w:rsid w:val="729347A3"/>
    <w:rsid w:val="72A82F68"/>
    <w:rsid w:val="72BA2BA7"/>
    <w:rsid w:val="72CC23B8"/>
    <w:rsid w:val="72E10C34"/>
    <w:rsid w:val="72F316A6"/>
    <w:rsid w:val="72F87AB6"/>
    <w:rsid w:val="731264F2"/>
    <w:rsid w:val="73232BB6"/>
    <w:rsid w:val="7328359A"/>
    <w:rsid w:val="73306DA6"/>
    <w:rsid w:val="733B558C"/>
    <w:rsid w:val="733E79DC"/>
    <w:rsid w:val="7346211D"/>
    <w:rsid w:val="73577FD8"/>
    <w:rsid w:val="735F6E9F"/>
    <w:rsid w:val="739127AA"/>
    <w:rsid w:val="73AE2D53"/>
    <w:rsid w:val="73B8121E"/>
    <w:rsid w:val="73C2315F"/>
    <w:rsid w:val="73CF4676"/>
    <w:rsid w:val="73EC613D"/>
    <w:rsid w:val="73EE01D2"/>
    <w:rsid w:val="7401338A"/>
    <w:rsid w:val="74172456"/>
    <w:rsid w:val="741D4B8A"/>
    <w:rsid w:val="74324450"/>
    <w:rsid w:val="74432DAD"/>
    <w:rsid w:val="744F0B5E"/>
    <w:rsid w:val="745708E8"/>
    <w:rsid w:val="74936C9D"/>
    <w:rsid w:val="749B0247"/>
    <w:rsid w:val="74A10861"/>
    <w:rsid w:val="74B714BF"/>
    <w:rsid w:val="74CA6436"/>
    <w:rsid w:val="74CD1587"/>
    <w:rsid w:val="74DD5642"/>
    <w:rsid w:val="74E22A76"/>
    <w:rsid w:val="74F0081D"/>
    <w:rsid w:val="74F808DC"/>
    <w:rsid w:val="74F87C6B"/>
    <w:rsid w:val="75231113"/>
    <w:rsid w:val="75367EA2"/>
    <w:rsid w:val="75982B8A"/>
    <w:rsid w:val="759E5489"/>
    <w:rsid w:val="75AF3165"/>
    <w:rsid w:val="75DE52A1"/>
    <w:rsid w:val="75ED05D6"/>
    <w:rsid w:val="75F55223"/>
    <w:rsid w:val="76430AB0"/>
    <w:rsid w:val="764A63F7"/>
    <w:rsid w:val="764F753B"/>
    <w:rsid w:val="766B4952"/>
    <w:rsid w:val="76790114"/>
    <w:rsid w:val="76A84E99"/>
    <w:rsid w:val="76B80C3C"/>
    <w:rsid w:val="76C9109B"/>
    <w:rsid w:val="76D50C51"/>
    <w:rsid w:val="77006217"/>
    <w:rsid w:val="771A0470"/>
    <w:rsid w:val="77364257"/>
    <w:rsid w:val="773B48E9"/>
    <w:rsid w:val="773C186D"/>
    <w:rsid w:val="774E2BDE"/>
    <w:rsid w:val="775B5A6C"/>
    <w:rsid w:val="776500DC"/>
    <w:rsid w:val="776E05AD"/>
    <w:rsid w:val="77873759"/>
    <w:rsid w:val="778A284E"/>
    <w:rsid w:val="779F1DFC"/>
    <w:rsid w:val="77D575CC"/>
    <w:rsid w:val="77DA1086"/>
    <w:rsid w:val="77DD4EB4"/>
    <w:rsid w:val="77E35C3E"/>
    <w:rsid w:val="77E679F9"/>
    <w:rsid w:val="77F2054E"/>
    <w:rsid w:val="780A63F2"/>
    <w:rsid w:val="780E3485"/>
    <w:rsid w:val="78182A87"/>
    <w:rsid w:val="78210A63"/>
    <w:rsid w:val="78482365"/>
    <w:rsid w:val="784F737E"/>
    <w:rsid w:val="785B7A2B"/>
    <w:rsid w:val="7862396A"/>
    <w:rsid w:val="78746DE5"/>
    <w:rsid w:val="78784234"/>
    <w:rsid w:val="78AC7963"/>
    <w:rsid w:val="78C80EDF"/>
    <w:rsid w:val="78E20BC8"/>
    <w:rsid w:val="78F92B20"/>
    <w:rsid w:val="7907111C"/>
    <w:rsid w:val="790A7749"/>
    <w:rsid w:val="792E40CB"/>
    <w:rsid w:val="79490272"/>
    <w:rsid w:val="796C5B88"/>
    <w:rsid w:val="79763A39"/>
    <w:rsid w:val="79797468"/>
    <w:rsid w:val="798678C4"/>
    <w:rsid w:val="79872B48"/>
    <w:rsid w:val="79AA4186"/>
    <w:rsid w:val="79B323EB"/>
    <w:rsid w:val="79CF6D12"/>
    <w:rsid w:val="79D044EF"/>
    <w:rsid w:val="7A0432F6"/>
    <w:rsid w:val="7A1D29DA"/>
    <w:rsid w:val="7A4378C3"/>
    <w:rsid w:val="7A662E9D"/>
    <w:rsid w:val="7A82542A"/>
    <w:rsid w:val="7AAA2C6E"/>
    <w:rsid w:val="7AB03CBD"/>
    <w:rsid w:val="7ABD3430"/>
    <w:rsid w:val="7AC14247"/>
    <w:rsid w:val="7AC52BAB"/>
    <w:rsid w:val="7AD7744C"/>
    <w:rsid w:val="7AFA640F"/>
    <w:rsid w:val="7B0C1C63"/>
    <w:rsid w:val="7B0E648D"/>
    <w:rsid w:val="7B1B5667"/>
    <w:rsid w:val="7B1D3BFF"/>
    <w:rsid w:val="7B21281B"/>
    <w:rsid w:val="7B2A78C6"/>
    <w:rsid w:val="7B301788"/>
    <w:rsid w:val="7B3D3B4B"/>
    <w:rsid w:val="7B410174"/>
    <w:rsid w:val="7B476A33"/>
    <w:rsid w:val="7B4F7695"/>
    <w:rsid w:val="7B5A6766"/>
    <w:rsid w:val="7B8A3B1C"/>
    <w:rsid w:val="7B95148A"/>
    <w:rsid w:val="7BC57958"/>
    <w:rsid w:val="7BCE4D70"/>
    <w:rsid w:val="7BF847B2"/>
    <w:rsid w:val="7C032157"/>
    <w:rsid w:val="7C11491A"/>
    <w:rsid w:val="7C1859E2"/>
    <w:rsid w:val="7C352D2F"/>
    <w:rsid w:val="7C4D62CB"/>
    <w:rsid w:val="7C5203C9"/>
    <w:rsid w:val="7C5D7A61"/>
    <w:rsid w:val="7C6B49A3"/>
    <w:rsid w:val="7C6E743A"/>
    <w:rsid w:val="7CD36C81"/>
    <w:rsid w:val="7CDB7433"/>
    <w:rsid w:val="7CF85A96"/>
    <w:rsid w:val="7D106E0F"/>
    <w:rsid w:val="7D123A31"/>
    <w:rsid w:val="7D4B1E05"/>
    <w:rsid w:val="7D620487"/>
    <w:rsid w:val="7D8F674F"/>
    <w:rsid w:val="7DA51E19"/>
    <w:rsid w:val="7DAC2193"/>
    <w:rsid w:val="7DD27FDA"/>
    <w:rsid w:val="7DDC53AD"/>
    <w:rsid w:val="7DE93DD1"/>
    <w:rsid w:val="7E0B4DAE"/>
    <w:rsid w:val="7E1C1010"/>
    <w:rsid w:val="7E500237"/>
    <w:rsid w:val="7E5C27F5"/>
    <w:rsid w:val="7E9755DB"/>
    <w:rsid w:val="7E9D7ADC"/>
    <w:rsid w:val="7EA12EFD"/>
    <w:rsid w:val="7EAA5D04"/>
    <w:rsid w:val="7EAF501B"/>
    <w:rsid w:val="7EBB576E"/>
    <w:rsid w:val="7EC935AD"/>
    <w:rsid w:val="7EF02F3D"/>
    <w:rsid w:val="7EF227CF"/>
    <w:rsid w:val="7EFA2B62"/>
    <w:rsid w:val="7F0A2251"/>
    <w:rsid w:val="7F1E37F9"/>
    <w:rsid w:val="7F201A75"/>
    <w:rsid w:val="7F250E39"/>
    <w:rsid w:val="7F31797E"/>
    <w:rsid w:val="7F3816EC"/>
    <w:rsid w:val="7F4A08A0"/>
    <w:rsid w:val="7F502E98"/>
    <w:rsid w:val="7F652EA0"/>
    <w:rsid w:val="7F6E3457"/>
    <w:rsid w:val="7F761695"/>
    <w:rsid w:val="7F7B5955"/>
    <w:rsid w:val="7F891A50"/>
    <w:rsid w:val="7F8C1453"/>
    <w:rsid w:val="7FED6B43"/>
    <w:rsid w:val="7FF91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unhideWhenUsed="0" w:uiPriority="0" w:semiHidden="0" w:name="index 3"/>
    <w:lsdException w:qFormat="1" w:unhideWhenUsed="0" w:uiPriority="99"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4"/>
    <w:qFormat/>
    <w:uiPriority w:val="0"/>
    <w:pPr>
      <w:keepNext/>
      <w:numPr>
        <w:ilvl w:val="0"/>
        <w:numId w:val="1"/>
      </w:numPr>
      <w:outlineLvl w:val="0"/>
    </w:pPr>
    <w:rPr>
      <w:rFonts w:ascii="Arial" w:hAnsi="Arial"/>
      <w:sz w:val="30"/>
      <w:lang w:bidi="he-IL"/>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2" w:lineRule="auto"/>
      <w:outlineLvl w:val="4"/>
    </w:pPr>
    <w:rPr>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58"/>
    <w:qFormat/>
    <w:uiPriority w:val="0"/>
    <w:pPr>
      <w:ind w:firstLine="420"/>
    </w:pPr>
  </w:style>
  <w:style w:type="paragraph" w:styleId="8">
    <w:name w:val="toc 7"/>
    <w:basedOn w:val="1"/>
    <w:next w:val="1"/>
    <w:semiHidden/>
    <w:qFormat/>
    <w:uiPriority w:val="0"/>
    <w:pPr>
      <w:ind w:left="2520" w:leftChars="1200"/>
    </w:pPr>
  </w:style>
  <w:style w:type="paragraph" w:styleId="9">
    <w:name w:val="annotation text"/>
    <w:basedOn w:val="1"/>
    <w:link w:val="59"/>
    <w:qFormat/>
    <w:uiPriority w:val="0"/>
    <w:pPr>
      <w:jc w:val="left"/>
    </w:pPr>
  </w:style>
  <w:style w:type="paragraph" w:styleId="10">
    <w:name w:val="index 6"/>
    <w:basedOn w:val="1"/>
    <w:next w:val="1"/>
    <w:semiHidden/>
    <w:qFormat/>
    <w:uiPriority w:val="0"/>
    <w:pPr>
      <w:ind w:left="1000" w:leftChars="1000"/>
    </w:pPr>
  </w:style>
  <w:style w:type="paragraph" w:styleId="11">
    <w:name w:val="Body Text"/>
    <w:basedOn w:val="1"/>
    <w:next w:val="1"/>
    <w:link w:val="60"/>
    <w:qFormat/>
    <w:uiPriority w:val="0"/>
    <w:pPr>
      <w:jc w:val="left"/>
    </w:pPr>
    <w:rPr>
      <w:rFonts w:ascii="Arial" w:hAnsi="Arial" w:eastAsia="黑体"/>
      <w:b/>
      <w:sz w:val="32"/>
    </w:rPr>
  </w:style>
  <w:style w:type="paragraph" w:styleId="12">
    <w:name w:val="Body Text Indent"/>
    <w:basedOn w:val="1"/>
    <w:next w:val="13"/>
    <w:qFormat/>
    <w:uiPriority w:val="0"/>
    <w:pPr>
      <w:ind w:firstLine="645"/>
    </w:pPr>
    <w:rPr>
      <w:rFonts w:ascii="Arial" w:hAnsi="Arial" w:eastAsia="仿宋_GB2312"/>
      <w:sz w:val="28"/>
    </w:rPr>
  </w:style>
  <w:style w:type="paragraph" w:styleId="13">
    <w:name w:val="envelope return"/>
    <w:basedOn w:val="1"/>
    <w:qFormat/>
    <w:uiPriority w:val="0"/>
    <w:pPr>
      <w:snapToGrid w:val="0"/>
    </w:pPr>
    <w:rPr>
      <w:rFonts w:ascii="Arial" w:hAnsi="Arial"/>
    </w:rPr>
  </w:style>
  <w:style w:type="paragraph" w:styleId="14">
    <w:name w:val="index 4"/>
    <w:basedOn w:val="1"/>
    <w:next w:val="1"/>
    <w:qFormat/>
    <w:uiPriority w:val="99"/>
    <w:pPr>
      <w:ind w:left="600" w:leftChars="600"/>
    </w:pPr>
    <w:rPr>
      <w:szCs w:val="24"/>
    </w:rPr>
  </w:style>
  <w:style w:type="paragraph" w:styleId="15">
    <w:name w:val="toc 5"/>
    <w:basedOn w:val="1"/>
    <w:next w:val="1"/>
    <w:semiHidden/>
    <w:qFormat/>
    <w:uiPriority w:val="0"/>
    <w:pPr>
      <w:ind w:left="1680" w:leftChars="800"/>
    </w:pPr>
  </w:style>
  <w:style w:type="paragraph" w:styleId="16">
    <w:name w:val="toc 3"/>
    <w:basedOn w:val="1"/>
    <w:next w:val="1"/>
    <w:semiHidden/>
    <w:qFormat/>
    <w:uiPriority w:val="0"/>
    <w:pPr>
      <w:tabs>
        <w:tab w:val="right" w:leader="dot" w:pos="9514"/>
      </w:tabs>
      <w:ind w:left="359" w:leftChars="171" w:firstLine="1"/>
    </w:pPr>
  </w:style>
  <w:style w:type="paragraph" w:styleId="17">
    <w:name w:val="Plain Text"/>
    <w:basedOn w:val="1"/>
    <w:link w:val="61"/>
    <w:qFormat/>
    <w:uiPriority w:val="0"/>
    <w:rPr>
      <w:rFonts w:ascii="宋体" w:hAnsi="Courier New"/>
    </w:rPr>
  </w:style>
  <w:style w:type="paragraph" w:styleId="18">
    <w:name w:val="toc 8"/>
    <w:basedOn w:val="1"/>
    <w:next w:val="1"/>
    <w:semiHidden/>
    <w:qFormat/>
    <w:uiPriority w:val="0"/>
    <w:pPr>
      <w:ind w:left="2940" w:leftChars="1400"/>
    </w:pPr>
  </w:style>
  <w:style w:type="paragraph" w:styleId="19">
    <w:name w:val="Date"/>
    <w:basedOn w:val="1"/>
    <w:next w:val="1"/>
    <w:link w:val="62"/>
    <w:qFormat/>
    <w:uiPriority w:val="0"/>
    <w:rPr>
      <w:rFonts w:ascii="仿宋_GB2312" w:eastAsia="仿宋_GB2312"/>
      <w:sz w:val="30"/>
      <w:lang w:bidi="he-IL"/>
    </w:rPr>
  </w:style>
  <w:style w:type="paragraph" w:styleId="20">
    <w:name w:val="Body Text Indent 2"/>
    <w:basedOn w:val="1"/>
    <w:qFormat/>
    <w:uiPriority w:val="0"/>
    <w:pPr>
      <w:ind w:firstLine="570"/>
    </w:pPr>
    <w:rPr>
      <w:rFonts w:ascii="Arial" w:hAnsi="Arial" w:eastAsia="仿宋_GB2312"/>
      <w:b/>
      <w:sz w:val="28"/>
    </w:rPr>
  </w:style>
  <w:style w:type="paragraph" w:styleId="21">
    <w:name w:val="Balloon Text"/>
    <w:basedOn w:val="1"/>
    <w:link w:val="63"/>
    <w:semiHidden/>
    <w:qFormat/>
    <w:uiPriority w:val="0"/>
    <w:rPr>
      <w:sz w:val="18"/>
      <w:szCs w:val="18"/>
    </w:rPr>
  </w:style>
  <w:style w:type="paragraph" w:styleId="22">
    <w:name w:val="footer"/>
    <w:basedOn w:val="1"/>
    <w:link w:val="64"/>
    <w:qFormat/>
    <w:uiPriority w:val="0"/>
    <w:pPr>
      <w:tabs>
        <w:tab w:val="center" w:pos="4153"/>
        <w:tab w:val="right" w:pos="8306"/>
      </w:tabs>
      <w:snapToGrid w:val="0"/>
      <w:jc w:val="left"/>
    </w:pPr>
    <w:rPr>
      <w:sz w:val="18"/>
      <w:lang w:bidi="he-IL"/>
    </w:rPr>
  </w:style>
  <w:style w:type="paragraph" w:styleId="23">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0"/>
    <w:rPr>
      <w:rFonts w:eastAsia="黑体"/>
      <w:sz w:val="28"/>
    </w:rPr>
  </w:style>
  <w:style w:type="paragraph" w:styleId="25">
    <w:name w:val="toc 4"/>
    <w:basedOn w:val="1"/>
    <w:next w:val="1"/>
    <w:semiHidden/>
    <w:qFormat/>
    <w:uiPriority w:val="0"/>
    <w:pPr>
      <w:ind w:left="1260" w:leftChars="600"/>
    </w:pPr>
  </w:style>
  <w:style w:type="paragraph" w:styleId="26">
    <w:name w:val="toc 6"/>
    <w:basedOn w:val="1"/>
    <w:next w:val="1"/>
    <w:semiHidden/>
    <w:qFormat/>
    <w:uiPriority w:val="0"/>
    <w:pPr>
      <w:ind w:left="2100" w:leftChars="1000"/>
    </w:pPr>
  </w:style>
  <w:style w:type="paragraph" w:styleId="27">
    <w:name w:val="Body Text Indent 3"/>
    <w:basedOn w:val="1"/>
    <w:qFormat/>
    <w:uiPriority w:val="0"/>
    <w:pPr>
      <w:ind w:left="2" w:firstLine="628" w:firstLineChars="196"/>
    </w:pPr>
    <w:rPr>
      <w:rFonts w:ascii="Arial" w:hAnsi="Arial" w:eastAsia="仿宋_GB2312"/>
      <w:b/>
      <w:sz w:val="32"/>
      <w:lang w:bidi="he-IL"/>
    </w:rPr>
  </w:style>
  <w:style w:type="paragraph" w:styleId="28">
    <w:name w:val="toc 2"/>
    <w:basedOn w:val="29"/>
    <w:next w:val="29"/>
    <w:semiHidden/>
    <w:qFormat/>
    <w:uiPriority w:val="0"/>
    <w:pPr>
      <w:tabs>
        <w:tab w:val="right" w:leader="dot" w:pos="9540"/>
      </w:tabs>
      <w:spacing w:line="480" w:lineRule="auto"/>
      <w:ind w:left="420"/>
    </w:pPr>
    <w:rPr>
      <w:rFonts w:ascii="宋体" w:hAnsi="宋体" w:cs="Arial"/>
      <w:b/>
      <w:szCs w:val="21"/>
    </w:rPr>
  </w:style>
  <w:style w:type="paragraph" w:styleId="29">
    <w:name w:val="index 2"/>
    <w:basedOn w:val="1"/>
    <w:next w:val="1"/>
    <w:semiHidden/>
    <w:qFormat/>
    <w:uiPriority w:val="0"/>
    <w:pPr>
      <w:ind w:left="200" w:leftChars="200"/>
    </w:pPr>
  </w:style>
  <w:style w:type="paragraph" w:styleId="30">
    <w:name w:val="toc 9"/>
    <w:basedOn w:val="1"/>
    <w:next w:val="1"/>
    <w:semiHidden/>
    <w:qFormat/>
    <w:uiPriority w:val="0"/>
    <w:pPr>
      <w:ind w:left="3360" w:leftChars="1600"/>
    </w:pPr>
  </w:style>
  <w:style w:type="paragraph" w:styleId="31">
    <w:name w:val="Body Text 2"/>
    <w:basedOn w:val="1"/>
    <w:qFormat/>
    <w:uiPriority w:val="0"/>
    <w:pPr>
      <w:spacing w:line="480" w:lineRule="exact"/>
    </w:pPr>
    <w:rPr>
      <w:rFonts w:ascii="仿宋_GB2312" w:eastAsia="仿宋_GB2312"/>
      <w:b/>
      <w:sz w:val="28"/>
    </w:rPr>
  </w:style>
  <w:style w:type="paragraph" w:styleId="32">
    <w:name w:val="Normal (Web)"/>
    <w:basedOn w:val="1"/>
    <w:qFormat/>
    <w:uiPriority w:val="0"/>
    <w:pPr>
      <w:widowControl/>
      <w:jc w:val="left"/>
    </w:pPr>
    <w:rPr>
      <w:rFonts w:ascii="宋体" w:hAnsi="宋体" w:cs="宋体"/>
      <w:kern w:val="0"/>
      <w:sz w:val="24"/>
      <w:szCs w:val="24"/>
    </w:rPr>
  </w:style>
  <w:style w:type="paragraph" w:styleId="33">
    <w:name w:val="index 1"/>
    <w:basedOn w:val="1"/>
    <w:next w:val="1"/>
    <w:semiHidden/>
    <w:qFormat/>
    <w:uiPriority w:val="0"/>
    <w:rPr>
      <w:rFonts w:eastAsia="仿宋_GB2312"/>
      <w:b/>
      <w:sz w:val="24"/>
    </w:rPr>
  </w:style>
  <w:style w:type="paragraph" w:styleId="34">
    <w:name w:val="annotation subject"/>
    <w:basedOn w:val="9"/>
    <w:next w:val="9"/>
    <w:link w:val="66"/>
    <w:qFormat/>
    <w:uiPriority w:val="0"/>
    <w:rPr>
      <w:b/>
      <w:bCs/>
      <w:kern w:val="0"/>
      <w:sz w:val="20"/>
    </w:rPr>
  </w:style>
  <w:style w:type="paragraph" w:styleId="35">
    <w:name w:val="Body Text First Indent"/>
    <w:basedOn w:val="11"/>
    <w:next w:val="1"/>
    <w:qFormat/>
    <w:uiPriority w:val="0"/>
    <w:pPr>
      <w:ind w:firstLine="420" w:firstLineChars="100"/>
    </w:pPr>
    <w:rPr>
      <w:rFonts w:ascii="Times New Roman" w:hAnsi="Times New Roman" w:eastAsia="宋体"/>
    </w:rPr>
  </w:style>
  <w:style w:type="paragraph" w:styleId="36">
    <w:name w:val="Body Text First Indent 2"/>
    <w:basedOn w:val="12"/>
    <w:next w:val="1"/>
    <w:qFormat/>
    <w:uiPriority w:val="0"/>
    <w:pPr>
      <w:tabs>
        <w:tab w:val="left" w:pos="0"/>
        <w:tab w:val="left" w:pos="993"/>
        <w:tab w:val="left" w:pos="1134"/>
      </w:tabs>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bCs/>
    </w:rPr>
  </w:style>
  <w:style w:type="character" w:styleId="41">
    <w:name w:val="page number"/>
    <w:qFormat/>
    <w:uiPriority w:val="0"/>
  </w:style>
  <w:style w:type="character" w:styleId="42">
    <w:name w:val="FollowedHyperlink"/>
    <w:qFormat/>
    <w:uiPriority w:val="0"/>
    <w:rPr>
      <w:color w:val="800080"/>
      <w:u w:val="none"/>
    </w:rPr>
  </w:style>
  <w:style w:type="character" w:styleId="43">
    <w:name w:val="HTML Definition"/>
    <w:qFormat/>
    <w:uiPriority w:val="0"/>
  </w:style>
  <w:style w:type="character" w:styleId="44">
    <w:name w:val="HTML Typewriter"/>
    <w:qFormat/>
    <w:uiPriority w:val="0"/>
    <w:rPr>
      <w:rFonts w:ascii="monospace" w:hAnsi="monospace" w:eastAsia="monospace" w:cs="monospace"/>
      <w:sz w:val="20"/>
    </w:rPr>
  </w:style>
  <w:style w:type="character" w:styleId="45">
    <w:name w:val="HTML Acronym"/>
    <w:basedOn w:val="39"/>
    <w:qFormat/>
    <w:uiPriority w:val="0"/>
  </w:style>
  <w:style w:type="character" w:styleId="46">
    <w:name w:val="HTML Variable"/>
    <w:qFormat/>
    <w:uiPriority w:val="0"/>
  </w:style>
  <w:style w:type="character" w:styleId="47">
    <w:name w:val="Hyperlink"/>
    <w:qFormat/>
    <w:uiPriority w:val="0"/>
    <w:rPr>
      <w:color w:val="0000FF"/>
      <w:u w:val="none"/>
    </w:rPr>
  </w:style>
  <w:style w:type="character" w:styleId="48">
    <w:name w:val="HTML Code"/>
    <w:qFormat/>
    <w:uiPriority w:val="0"/>
    <w:rPr>
      <w:rFonts w:hint="default" w:ascii="monospace" w:hAnsi="monospace" w:eastAsia="monospace" w:cs="monospace"/>
      <w:sz w:val="20"/>
    </w:rPr>
  </w:style>
  <w:style w:type="character" w:styleId="49">
    <w:name w:val="annotation reference"/>
    <w:qFormat/>
    <w:uiPriority w:val="0"/>
    <w:rPr>
      <w:sz w:val="21"/>
      <w:szCs w:val="21"/>
    </w:rPr>
  </w:style>
  <w:style w:type="character" w:styleId="50">
    <w:name w:val="HTML Cit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paragraph" w:customStyle="1" w:styleId="53">
    <w:name w:val="Normal Indent1"/>
    <w:basedOn w:val="1"/>
    <w:qFormat/>
    <w:uiPriority w:val="0"/>
    <w:pPr>
      <w:ind w:firstLine="420" w:firstLineChars="200"/>
    </w:pPr>
  </w:style>
  <w:style w:type="character" w:customStyle="1" w:styleId="54">
    <w:name w:val="标题 1 字符"/>
    <w:link w:val="2"/>
    <w:qFormat/>
    <w:locked/>
    <w:uiPriority w:val="0"/>
    <w:rPr>
      <w:rFonts w:ascii="Arial" w:hAnsi="Arial" w:eastAsia="宋体"/>
      <w:kern w:val="2"/>
      <w:sz w:val="30"/>
      <w:lang w:val="en-US" w:eastAsia="zh-CN" w:bidi="he-IL"/>
    </w:rPr>
  </w:style>
  <w:style w:type="paragraph" w:customStyle="1" w:styleId="55">
    <w:name w:val="Body Text First Indent 21"/>
    <w:basedOn w:val="56"/>
    <w:qFormat/>
    <w:uiPriority w:val="0"/>
    <w:pPr>
      <w:ind w:firstLine="420" w:firstLineChars="200"/>
    </w:pPr>
  </w:style>
  <w:style w:type="paragraph" w:customStyle="1" w:styleId="56">
    <w:name w:val="Body Text Indent1"/>
    <w:qFormat/>
    <w:uiPriority w:val="99"/>
    <w:pPr>
      <w:widowControl w:val="0"/>
      <w:ind w:left="420" w:leftChars="200"/>
      <w:jc w:val="both"/>
    </w:pPr>
    <w:rPr>
      <w:rFonts w:ascii="Calibri" w:hAnsi="Calibri" w:eastAsia="仿宋_GB2312" w:cs="黑体"/>
      <w:kern w:val="2"/>
      <w:sz w:val="44"/>
      <w:szCs w:val="44"/>
      <w:lang w:val="en-US" w:eastAsia="zh-CN" w:bidi="ar-SA"/>
    </w:rPr>
  </w:style>
  <w:style w:type="character" w:customStyle="1" w:styleId="57">
    <w:name w:val="标题 2 字符"/>
    <w:link w:val="3"/>
    <w:qFormat/>
    <w:locked/>
    <w:uiPriority w:val="0"/>
    <w:rPr>
      <w:rFonts w:ascii="Arial" w:hAnsi="Arial" w:eastAsia="黑体"/>
      <w:b/>
      <w:bCs/>
      <w:kern w:val="2"/>
      <w:sz w:val="32"/>
      <w:szCs w:val="32"/>
      <w:lang w:val="en-US" w:eastAsia="zh-CN" w:bidi="ar-SA"/>
    </w:rPr>
  </w:style>
  <w:style w:type="character" w:customStyle="1" w:styleId="58">
    <w:name w:val="正文缩进 字符"/>
    <w:link w:val="6"/>
    <w:qFormat/>
    <w:locked/>
    <w:uiPriority w:val="0"/>
    <w:rPr>
      <w:rFonts w:eastAsia="宋体"/>
      <w:kern w:val="2"/>
      <w:sz w:val="21"/>
      <w:lang w:val="en-US" w:eastAsia="zh-CN" w:bidi="ar-SA"/>
    </w:rPr>
  </w:style>
  <w:style w:type="character" w:customStyle="1" w:styleId="59">
    <w:name w:val="批注文字 字符"/>
    <w:link w:val="9"/>
    <w:qFormat/>
    <w:uiPriority w:val="0"/>
    <w:rPr>
      <w:kern w:val="2"/>
      <w:sz w:val="21"/>
    </w:rPr>
  </w:style>
  <w:style w:type="character" w:customStyle="1" w:styleId="60">
    <w:name w:val="正文文本 字符"/>
    <w:link w:val="11"/>
    <w:qFormat/>
    <w:uiPriority w:val="0"/>
    <w:rPr>
      <w:rFonts w:ascii="Arial" w:hAnsi="Arial" w:eastAsia="黑体"/>
      <w:b/>
      <w:kern w:val="2"/>
      <w:sz w:val="32"/>
    </w:rPr>
  </w:style>
  <w:style w:type="character" w:customStyle="1" w:styleId="61">
    <w:name w:val="纯文本 字符"/>
    <w:link w:val="17"/>
    <w:qFormat/>
    <w:locked/>
    <w:uiPriority w:val="0"/>
    <w:rPr>
      <w:rFonts w:ascii="宋体" w:hAnsi="Courier New" w:eastAsia="宋体"/>
      <w:kern w:val="2"/>
      <w:sz w:val="21"/>
      <w:lang w:val="en-US" w:eastAsia="zh-CN" w:bidi="ar-SA"/>
    </w:rPr>
  </w:style>
  <w:style w:type="character" w:customStyle="1" w:styleId="62">
    <w:name w:val="日期 字符"/>
    <w:link w:val="19"/>
    <w:qFormat/>
    <w:uiPriority w:val="0"/>
    <w:rPr>
      <w:rFonts w:ascii="仿宋_GB2312" w:eastAsia="仿宋_GB2312"/>
      <w:kern w:val="2"/>
      <w:sz w:val="30"/>
      <w:lang w:bidi="he-IL"/>
    </w:rPr>
  </w:style>
  <w:style w:type="character" w:customStyle="1" w:styleId="63">
    <w:name w:val="批注框文本 字符"/>
    <w:link w:val="21"/>
    <w:semiHidden/>
    <w:qFormat/>
    <w:locked/>
    <w:uiPriority w:val="0"/>
    <w:rPr>
      <w:rFonts w:eastAsia="宋体"/>
      <w:kern w:val="2"/>
      <w:sz w:val="18"/>
      <w:szCs w:val="18"/>
      <w:lang w:val="en-US" w:eastAsia="zh-CN" w:bidi="ar-SA"/>
    </w:rPr>
  </w:style>
  <w:style w:type="character" w:customStyle="1" w:styleId="64">
    <w:name w:val="页脚 字符"/>
    <w:link w:val="22"/>
    <w:qFormat/>
    <w:uiPriority w:val="0"/>
    <w:rPr>
      <w:kern w:val="2"/>
      <w:sz w:val="18"/>
      <w:lang w:bidi="he-IL"/>
    </w:rPr>
  </w:style>
  <w:style w:type="character" w:customStyle="1" w:styleId="65">
    <w:name w:val="页眉 字符"/>
    <w:link w:val="23"/>
    <w:qFormat/>
    <w:locked/>
    <w:uiPriority w:val="0"/>
    <w:rPr>
      <w:rFonts w:eastAsia="宋体"/>
      <w:kern w:val="2"/>
      <w:sz w:val="18"/>
      <w:szCs w:val="18"/>
      <w:lang w:val="en-US" w:eastAsia="zh-CN" w:bidi="ar-SA"/>
    </w:rPr>
  </w:style>
  <w:style w:type="character" w:customStyle="1" w:styleId="66">
    <w:name w:val="批注主题 字符"/>
    <w:link w:val="34"/>
    <w:qFormat/>
    <w:uiPriority w:val="0"/>
    <w:rPr>
      <w:b/>
      <w:bCs/>
    </w:rPr>
  </w:style>
  <w:style w:type="character" w:customStyle="1" w:styleId="67">
    <w:name w:val="【正文】 Char"/>
    <w:link w:val="68"/>
    <w:qFormat/>
    <w:locked/>
    <w:uiPriority w:val="0"/>
    <w:rPr>
      <w:rFonts w:ascii="Calibri" w:hAnsi="Calibri" w:eastAsia="宋体"/>
      <w:sz w:val="24"/>
      <w:lang w:val="en-US" w:eastAsia="zh-CN" w:bidi="ar-SA"/>
    </w:rPr>
  </w:style>
  <w:style w:type="paragraph" w:customStyle="1" w:styleId="68">
    <w:name w:val="【正文】"/>
    <w:basedOn w:val="1"/>
    <w:link w:val="67"/>
    <w:qFormat/>
    <w:uiPriority w:val="0"/>
    <w:pPr>
      <w:spacing w:line="360" w:lineRule="auto"/>
      <w:ind w:firstLine="480" w:firstLineChars="200"/>
    </w:pPr>
    <w:rPr>
      <w:rFonts w:ascii="Calibri" w:hAnsi="Calibri"/>
      <w:kern w:val="0"/>
      <w:sz w:val="24"/>
    </w:rPr>
  </w:style>
  <w:style w:type="character" w:customStyle="1" w:styleId="69">
    <w:name w:val="Footer Char"/>
    <w:qFormat/>
    <w:locked/>
    <w:uiPriority w:val="0"/>
    <w:rPr>
      <w:rFonts w:cs="Times New Roman"/>
      <w:kern w:val="2"/>
      <w:sz w:val="18"/>
      <w:szCs w:val="18"/>
    </w:rPr>
  </w:style>
  <w:style w:type="character" w:customStyle="1" w:styleId="70">
    <w:name w:val="样式 仿宋_GB2312 三号"/>
    <w:qFormat/>
    <w:uiPriority w:val="0"/>
    <w:rPr>
      <w:rFonts w:ascii="仿宋_GB2312" w:hAnsi="仿宋_GB2312" w:eastAsia="仿宋_GB2312"/>
      <w:sz w:val="28"/>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正文段"/>
    <w:basedOn w:val="1"/>
    <w:qFormat/>
    <w:uiPriority w:val="0"/>
    <w:pPr>
      <w:widowControl/>
      <w:adjustRightInd w:val="0"/>
      <w:spacing w:after="240" w:line="360" w:lineRule="atLeast"/>
      <w:ind w:firstLine="454"/>
      <w:textAlignment w:val="bottom"/>
    </w:pPr>
    <w:rPr>
      <w:rFonts w:ascii="宋体"/>
      <w:kern w:val="0"/>
      <w:sz w:val="24"/>
    </w:rPr>
  </w:style>
  <w:style w:type="paragraph" w:customStyle="1" w:styleId="74">
    <w:name w:val="纯文本1"/>
    <w:basedOn w:val="1"/>
    <w:qFormat/>
    <w:uiPriority w:val="0"/>
    <w:pPr>
      <w:widowControl/>
      <w:jc w:val="left"/>
    </w:pPr>
    <w:rPr>
      <w:rFonts w:ascii="宋体" w:hAnsi="Courier New" w:cs="宋体"/>
      <w:kern w:val="0"/>
      <w:sz w:val="20"/>
    </w:rPr>
  </w:style>
  <w:style w:type="paragraph" w:customStyle="1" w:styleId="75">
    <w:name w:val="Char Char Char Char Char Char Char1 Char"/>
    <w:basedOn w:val="1"/>
    <w:qFormat/>
    <w:uiPriority w:val="0"/>
    <w:rPr>
      <w:rFonts w:ascii="Tahoma" w:hAnsi="Tahoma"/>
      <w:sz w:val="24"/>
    </w:rPr>
  </w:style>
  <w:style w:type="paragraph" w:customStyle="1" w:styleId="76">
    <w:name w:val="Char Char Char Char Char Char Char Char Char Char"/>
    <w:basedOn w:val="1"/>
    <w:qFormat/>
    <w:uiPriority w:val="0"/>
    <w:rPr>
      <w:rFonts w:ascii="Tahoma" w:hAnsi="Tahoma" w:cs="仿宋_GB2312"/>
      <w:sz w:val="24"/>
    </w:rPr>
  </w:style>
  <w:style w:type="paragraph" w:customStyle="1" w:styleId="77">
    <w:name w:val="表格"/>
    <w:basedOn w:val="1"/>
    <w:qFormat/>
    <w:uiPriority w:val="0"/>
    <w:pPr>
      <w:tabs>
        <w:tab w:val="left" w:pos="510"/>
      </w:tabs>
      <w:adjustRightInd w:val="0"/>
      <w:spacing w:line="320" w:lineRule="atLeast"/>
      <w:ind w:right="-102" w:hanging="108"/>
      <w:jc w:val="center"/>
      <w:textAlignment w:val="baseline"/>
    </w:pPr>
    <w:rPr>
      <w:kern w:val="0"/>
      <w:sz w:val="24"/>
    </w:rPr>
  </w:style>
  <w:style w:type="paragraph" w:styleId="78">
    <w:name w:val="List Paragraph"/>
    <w:basedOn w:val="1"/>
    <w:qFormat/>
    <w:uiPriority w:val="34"/>
    <w:pPr>
      <w:ind w:firstLine="420" w:firstLineChars="200"/>
    </w:pPr>
  </w:style>
  <w:style w:type="paragraph" w:customStyle="1" w:styleId="79">
    <w:name w:val="样式 标题 1 + 宋体 居中 段前: 48 磅 段后: 12 磅 行距: 1.5 倍行距"/>
    <w:basedOn w:val="2"/>
    <w:qFormat/>
    <w:uiPriority w:val="0"/>
    <w:pPr>
      <w:keepNext w:val="0"/>
      <w:adjustRightInd w:val="0"/>
      <w:spacing w:line="360" w:lineRule="auto"/>
      <w:jc w:val="center"/>
      <w:textAlignment w:val="baseline"/>
    </w:pPr>
    <w:rPr>
      <w:rFonts w:ascii="宋体" w:cs="宋体"/>
      <w:sz w:val="32"/>
      <w:szCs w:val="32"/>
      <w:lang w:val="zh-CN"/>
    </w:rPr>
  </w:style>
  <w:style w:type="paragraph" w:customStyle="1" w:styleId="80">
    <w:name w:val="p0"/>
    <w:basedOn w:val="1"/>
    <w:qFormat/>
    <w:uiPriority w:val="0"/>
    <w:pPr>
      <w:widowControl/>
    </w:pPr>
    <w:rPr>
      <w:kern w:val="0"/>
      <w:szCs w:val="21"/>
    </w:rPr>
  </w:style>
  <w:style w:type="paragraph" w:customStyle="1" w:styleId="8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D&amp;L"/>
    <w:basedOn w:val="2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Char Char6"/>
    <w:basedOn w:val="1"/>
    <w:qFormat/>
    <w:uiPriority w:val="0"/>
    <w:rPr>
      <w:szCs w:val="21"/>
    </w:rPr>
  </w:style>
  <w:style w:type="paragraph" w:customStyle="1" w:styleId="85">
    <w:name w:val="Char1"/>
    <w:basedOn w:val="1"/>
    <w:qFormat/>
    <w:uiPriority w:val="0"/>
    <w:pPr>
      <w:adjustRightInd w:val="0"/>
      <w:spacing w:line="360" w:lineRule="auto"/>
    </w:pPr>
    <w:rPr>
      <w:szCs w:val="24"/>
    </w:rPr>
  </w:style>
  <w:style w:type="paragraph" w:customStyle="1" w:styleId="86">
    <w:name w:val="样式1"/>
    <w:basedOn w:val="5"/>
    <w:qFormat/>
    <w:uiPriority w:val="0"/>
    <w:pPr>
      <w:spacing w:line="300" w:lineRule="exact"/>
    </w:pPr>
    <w:rPr>
      <w:rFonts w:ascii="Times New Roman" w:hAnsi="Times New Roman" w:eastAsia="宋体"/>
      <w:sz w:val="24"/>
    </w:rPr>
  </w:style>
  <w:style w:type="paragraph" w:customStyle="1" w:styleId="87">
    <w:name w:val="Char Char Char Char Char Char Char Char Char"/>
    <w:basedOn w:val="1"/>
    <w:qFormat/>
    <w:uiPriority w:val="0"/>
    <w:rPr>
      <w:szCs w:val="21"/>
    </w:rPr>
  </w:style>
  <w:style w:type="paragraph" w:customStyle="1" w:styleId="88">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Char Char Char Char"/>
    <w:basedOn w:val="1"/>
    <w:qFormat/>
    <w:uiPriority w:val="0"/>
    <w:pPr>
      <w:widowControl/>
      <w:spacing w:after="160" w:line="240" w:lineRule="exact"/>
      <w:jc w:val="left"/>
    </w:pPr>
    <w:rPr>
      <w:rFonts w:ascii="Tahoma" w:hAnsi="Tahoma" w:eastAsia="Times New Roman"/>
      <w:kern w:val="0"/>
      <w:sz w:val="20"/>
      <w:lang w:eastAsia="en-US"/>
    </w:rPr>
  </w:style>
  <w:style w:type="paragraph" w:customStyle="1" w:styleId="91">
    <w:name w:val="正文1"/>
    <w:basedOn w:val="1"/>
    <w:next w:val="1"/>
    <w:qFormat/>
    <w:uiPriority w:val="0"/>
    <w:pPr>
      <w:widowControl/>
      <w:spacing w:before="156" w:line="360" w:lineRule="auto"/>
      <w:ind w:firstLine="510"/>
    </w:pPr>
    <w:rPr>
      <w:color w:val="000000"/>
      <w:sz w:val="24"/>
    </w:rPr>
  </w:style>
  <w:style w:type="paragraph" w:customStyle="1" w:styleId="92">
    <w:name w:val="_Style 32"/>
    <w:basedOn w:val="1"/>
    <w:qFormat/>
    <w:uiPriority w:val="0"/>
    <w:rPr>
      <w:szCs w:val="21"/>
    </w:rPr>
  </w:style>
  <w:style w:type="paragraph" w:customStyle="1" w:styleId="93">
    <w:name w:val="Char Char Char"/>
    <w:basedOn w:val="1"/>
    <w:qFormat/>
    <w:uiPriority w:val="0"/>
    <w:rPr>
      <w:rFonts w:ascii="Tahoma" w:hAnsi="Tahoma"/>
      <w:sz w:val="24"/>
    </w:rPr>
  </w:style>
  <w:style w:type="paragraph" w:customStyle="1" w:styleId="94">
    <w:name w:val="Normal (Web)_fe41a2e1-76c0-4c9a-a4cd-aed6c9580fc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5">
    <w:name w:val="NormalCharacter"/>
    <w:semiHidden/>
    <w:qFormat/>
    <w:uiPriority w:val="0"/>
  </w:style>
  <w:style w:type="paragraph" w:customStyle="1" w:styleId="96">
    <w:name w:val="UserStyle_0"/>
    <w:basedOn w:val="1"/>
    <w:qFormat/>
    <w:uiPriority w:val="0"/>
    <w:pPr>
      <w:spacing w:line="360" w:lineRule="auto"/>
      <w:ind w:firstLine="480" w:firstLineChars="200"/>
    </w:pPr>
    <w:rPr>
      <w:kern w:val="0"/>
      <w:sz w:val="24"/>
    </w:rPr>
  </w:style>
  <w:style w:type="paragraph" w:customStyle="1" w:styleId="97">
    <w:name w:val="Heading3"/>
    <w:basedOn w:val="1"/>
    <w:next w:val="1"/>
    <w:qFormat/>
    <w:uiPriority w:val="0"/>
    <w:pPr>
      <w:keepNext/>
      <w:keepLines/>
      <w:spacing w:before="260" w:after="260" w:line="416" w:lineRule="auto"/>
    </w:pPr>
    <w:rPr>
      <w:b/>
      <w:bCs/>
      <w:sz w:val="32"/>
      <w:szCs w:val="32"/>
    </w:rPr>
  </w:style>
  <w:style w:type="paragraph" w:customStyle="1" w:styleId="9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9">
    <w:name w:val="普通(网站)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0">
    <w:name w:val="Table Paragraph"/>
    <w:basedOn w:val="1"/>
    <w:qFormat/>
    <w:uiPriority w:val="0"/>
  </w:style>
  <w:style w:type="character" w:customStyle="1" w:styleId="101">
    <w:name w:val="font81"/>
    <w:basedOn w:val="39"/>
    <w:qFormat/>
    <w:uiPriority w:val="0"/>
    <w:rPr>
      <w:rFonts w:hint="eastAsia" w:ascii="宋体" w:hAnsi="宋体" w:eastAsia="宋体" w:cs="宋体"/>
      <w:b/>
      <w:bCs/>
      <w:color w:val="000000"/>
      <w:sz w:val="20"/>
      <w:szCs w:val="20"/>
      <w:u w:val="none"/>
    </w:rPr>
  </w:style>
  <w:style w:type="paragraph" w:customStyle="1" w:styleId="102">
    <w:name w:val="日期1"/>
    <w:basedOn w:val="1"/>
    <w:next w:val="1"/>
    <w:qFormat/>
    <w:uiPriority w:val="0"/>
    <w:rPr>
      <w:rFonts w:ascii="仿宋_GB2312" w:eastAsia="仿宋_GB2312"/>
      <w:sz w:val="30"/>
    </w:rPr>
  </w:style>
  <w:style w:type="paragraph" w:customStyle="1" w:styleId="103">
    <w:name w:val="首行缩进"/>
    <w:basedOn w:val="1"/>
    <w:qFormat/>
    <w:uiPriority w:val="99"/>
    <w:pPr>
      <w:spacing w:line="360" w:lineRule="auto"/>
      <w:ind w:firstLine="480" w:firstLineChars="200"/>
    </w:pPr>
    <w:rPr>
      <w:rFonts w:ascii="宋体" w:hAnsi="宋体" w:cs="宋体"/>
      <w:kern w:val="0"/>
      <w:sz w:val="24"/>
      <w:szCs w:val="24"/>
    </w:rPr>
  </w:style>
  <w:style w:type="character" w:customStyle="1" w:styleId="104">
    <w:name w:val="font01"/>
    <w:basedOn w:val="39"/>
    <w:qFormat/>
    <w:uiPriority w:val="0"/>
    <w:rPr>
      <w:rFonts w:hint="eastAsia" w:ascii="宋体" w:hAnsi="宋体" w:eastAsia="宋体" w:cs="宋体"/>
      <w:color w:val="000000"/>
      <w:sz w:val="22"/>
      <w:szCs w:val="22"/>
      <w:u w:val="none"/>
    </w:rPr>
  </w:style>
  <w:style w:type="character" w:customStyle="1" w:styleId="105">
    <w:name w:val="font51"/>
    <w:basedOn w:val="39"/>
    <w:qFormat/>
    <w:uiPriority w:val="0"/>
    <w:rPr>
      <w:rFonts w:hint="eastAsia" w:ascii="微软雅黑" w:hAnsi="微软雅黑" w:eastAsia="微软雅黑" w:cs="微软雅黑"/>
      <w:b/>
      <w:bCs/>
      <w:color w:val="000000"/>
      <w:sz w:val="18"/>
      <w:szCs w:val="18"/>
      <w:u w:val="none"/>
    </w:rPr>
  </w:style>
  <w:style w:type="paragraph" w:customStyle="1" w:styleId="106">
    <w:name w:val="Table Text"/>
    <w:basedOn w:val="1"/>
    <w:semiHidden/>
    <w:qFormat/>
    <w:uiPriority w:val="0"/>
    <w:rPr>
      <w:rFonts w:ascii="宋体" w:hAnsi="宋体" w:cs="宋体"/>
      <w:sz w:val="22"/>
      <w:szCs w:val="22"/>
      <w:lang w:eastAsia="en-US"/>
    </w:rPr>
  </w:style>
  <w:style w:type="table" w:customStyle="1" w:styleId="107">
    <w:name w:val="Table Normal"/>
    <w:unhideWhenUsed/>
    <w:qFormat/>
    <w:uiPriority w:val="0"/>
    <w:tblPr>
      <w:tblCellMar>
        <w:top w:w="0" w:type="dxa"/>
        <w:left w:w="0" w:type="dxa"/>
        <w:bottom w:w="0" w:type="dxa"/>
        <w:right w:w="0" w:type="dxa"/>
      </w:tblCellMar>
    </w:tbl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列表段落3"/>
    <w:basedOn w:val="1"/>
    <w:qFormat/>
    <w:uiPriority w:val="99"/>
    <w:pPr>
      <w:ind w:firstLine="420" w:firstLineChars="200"/>
    </w:pPr>
    <w:rPr>
      <w:rFonts w:ascii="Calibri" w:hAnsi="Calibri"/>
    </w:rPr>
  </w:style>
  <w:style w:type="paragraph" w:customStyle="1" w:styleId="110">
    <w:name w:val="正文首行缩进 21"/>
    <w:basedOn w:val="111"/>
    <w:qFormat/>
    <w:uiPriority w:val="0"/>
    <w:pPr>
      <w:spacing w:after="120" w:line="240" w:lineRule="auto"/>
      <w:ind w:left="420" w:leftChars="200" w:firstLine="420"/>
    </w:pPr>
    <w:rPr>
      <w:rFonts w:ascii="Times New Roman" w:hAnsi="Times New Roman" w:cs="宋体"/>
      <w:sz w:val="21"/>
      <w:szCs w:val="21"/>
    </w:rPr>
  </w:style>
  <w:style w:type="paragraph" w:customStyle="1" w:styleId="111">
    <w:name w:val="正文文本缩进1"/>
    <w:basedOn w:val="1"/>
    <w:next w:val="1"/>
    <w:qFormat/>
    <w:uiPriority w:val="0"/>
    <w:pPr>
      <w:spacing w:line="200" w:lineRule="exact"/>
      <w:ind w:firstLine="301"/>
    </w:pPr>
    <w:rPr>
      <w:rFonts w:ascii="宋体" w:hAnsi="Courier New"/>
      <w:spacing w:val="-4"/>
      <w:kern w:val="0"/>
      <w:sz w:val="18"/>
    </w:rPr>
  </w:style>
  <w:style w:type="paragraph" w:customStyle="1" w:styleId="112">
    <w:name w:val="列出段落1"/>
    <w:basedOn w:val="1"/>
    <w:qFormat/>
    <w:uiPriority w:val="99"/>
    <w:pPr>
      <w:ind w:firstLine="420" w:firstLineChars="200"/>
    </w:pPr>
  </w:style>
  <w:style w:type="paragraph" w:customStyle="1" w:styleId="113">
    <w:name w:val="纯文本11"/>
    <w:basedOn w:val="1"/>
    <w:next w:val="1"/>
    <w:qFormat/>
    <w:uiPriority w:val="0"/>
    <w:rPr>
      <w:rFonts w:ascii="宋体" w:hAnsi="Courier New"/>
    </w:rPr>
  </w:style>
  <w:style w:type="character" w:customStyle="1" w:styleId="114">
    <w:name w:val="done"/>
    <w:basedOn w:val="39"/>
    <w:qFormat/>
    <w:uiPriority w:val="0"/>
  </w:style>
  <w:style w:type="character" w:customStyle="1" w:styleId="115">
    <w:name w:val="layui-laypage-curr"/>
    <w:basedOn w:val="39"/>
    <w:qFormat/>
    <w:uiPriority w:val="0"/>
  </w:style>
  <w:style w:type="paragraph" w:customStyle="1" w:styleId="11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普通(网站)3"/>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安徽省政府采购中心</Company>
  <Pages>47</Pages>
  <Words>9053</Words>
  <Characters>9581</Characters>
  <Lines>165</Lines>
  <Paragraphs>46</Paragraphs>
  <TotalTime>25</TotalTime>
  <ScaleCrop>false</ScaleCrop>
  <LinksUpToDate>false</LinksUpToDate>
  <CharactersWithSpaces>9920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2022-05-07T08:47:00Z</dcterms:created>
  <dc:creator>X</dc:creator>
  <cp:lastModifiedBy>TX1showmAn</cp:lastModifiedBy>
  <cp:lastPrinted>2025-06-27T07:00:00Z</cp:lastPrinted>
  <dcterms:modified xsi:type="dcterms:W3CDTF">2026-06-25T23:52:08Z</dcterms:modified>
  <dc:title>目    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D5D8966E09264B3CAA9554DA9F590212_13</vt:lpwstr>
  </property>
  <property fmtid="{D5CDD505-2E9C-101B-9397-08002B2CF9AE}" pid="4" name="KSOTemplateDocerSaveRecord">
    <vt:lpwstr>eyJoZGlkIjoiYzUxZGExNmM2YzUyNDJhZjFlODVhMGM1M2FhN2VmMjUiLCJ1c2VySWQiOiIyNzI1NDQ2NDgifQ==</vt:lpwstr>
  </property>
</Properties>
</file>