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64242">
      <w:pPr>
        <w:pStyle w:val="2"/>
        <w:bidi w:val="0"/>
        <w:jc w:val="center"/>
        <w:rPr>
          <w:rFonts w:hint="eastAsia"/>
          <w:color w:val="FF0000"/>
          <w:lang w:val="en-US" w:eastAsia="zh-CN"/>
        </w:rPr>
      </w:pPr>
      <w:r>
        <w:rPr>
          <w:rFonts w:hint="eastAsia"/>
          <w:lang w:val="en-US" w:eastAsia="zh-CN"/>
        </w:rPr>
        <w:t>肾脏穿刺组织病理检验外送采购需求</w:t>
      </w:r>
    </w:p>
    <w:p w14:paraId="315C8960">
      <w:pPr>
        <w:numPr>
          <w:ilvl w:val="0"/>
          <w:numId w:val="2"/>
        </w:numPr>
        <w:snapToGrid w:val="0"/>
        <w:spacing w:line="360" w:lineRule="auto"/>
        <w:ind w:firstLine="482" w:firstLineChars="200"/>
        <w:rPr>
          <w:rFonts w:hint="eastAsia"/>
          <w:highlight w:val="none"/>
          <w:lang w:val="en-US" w:eastAsia="zh-CN"/>
        </w:rPr>
      </w:pPr>
      <w:r>
        <w:rPr>
          <w:rFonts w:hint="eastAsia" w:ascii="宋体" w:hAnsi="宋体" w:eastAsia="宋体" w:cs="宋体"/>
          <w:b/>
          <w:color w:val="000000"/>
          <w:sz w:val="24"/>
          <w:szCs w:val="24"/>
          <w:highlight w:val="none"/>
        </w:rPr>
        <w:t>项目具体需求说明</w:t>
      </w:r>
    </w:p>
    <w:p w14:paraId="0789034B">
      <w:pPr>
        <w:tabs>
          <w:tab w:val="left" w:pos="5325"/>
        </w:tabs>
        <w:snapToGrid w:val="0"/>
        <w:spacing w:line="360" w:lineRule="auto"/>
        <w:ind w:left="220" w:firstLine="480" w:firstLineChars="200"/>
        <w:contextualSpacing/>
        <w:rPr>
          <w:rFonts w:hint="eastAsia" w:ascii="宋体" w:hAnsi="宋体" w:cs="宋体"/>
          <w:b/>
          <w:bCs/>
          <w:sz w:val="24"/>
        </w:rPr>
      </w:pPr>
      <w:r>
        <w:rPr>
          <w:rFonts w:hint="eastAsia" w:ascii="宋体" w:hAnsi="宋体" w:cs="宋体"/>
          <w:sz w:val="24"/>
        </w:rPr>
        <w:t>1、</w:t>
      </w:r>
      <w:r>
        <w:rPr>
          <w:rFonts w:hint="eastAsia" w:ascii="宋体" w:hAnsi="宋体" w:cs="宋体"/>
          <w:b/>
          <w:bCs/>
          <w:sz w:val="24"/>
        </w:rPr>
        <w:t>技术</w:t>
      </w:r>
      <w:r>
        <w:rPr>
          <w:rFonts w:hint="eastAsia" w:ascii="宋体" w:hAnsi="宋体" w:cs="宋体"/>
          <w:b/>
          <w:bCs/>
          <w:sz w:val="24"/>
          <w:lang w:val="en-US" w:eastAsia="zh-CN"/>
        </w:rPr>
        <w:t>服务</w:t>
      </w:r>
      <w:r>
        <w:rPr>
          <w:rFonts w:hint="eastAsia" w:ascii="宋体" w:hAnsi="宋体" w:cs="宋体"/>
          <w:b/>
          <w:bCs/>
          <w:sz w:val="24"/>
        </w:rPr>
        <w:t>要求</w:t>
      </w:r>
    </w:p>
    <w:p w14:paraId="37F6A05E">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）供应商</w:t>
      </w:r>
      <w:r>
        <w:rPr>
          <w:rFonts w:hint="eastAsia" w:ascii="宋体" w:hAnsi="宋体" w:cs="宋体"/>
          <w:sz w:val="24"/>
        </w:rPr>
        <w:t>实验室符合国家卫计委《医疗机构临床实验室管理办法》等法律法规要求；</w:t>
      </w:r>
    </w:p>
    <w:p w14:paraId="78F3E66F">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）供应商</w:t>
      </w:r>
      <w:r>
        <w:rPr>
          <w:rFonts w:hint="eastAsia" w:ascii="宋体" w:hAnsi="宋体" w:cs="宋体"/>
          <w:sz w:val="24"/>
        </w:rPr>
        <w:t>保证按国家检测规范进行操作，并对标本的检测报告承担相应的责任；</w:t>
      </w:r>
    </w:p>
    <w:p w14:paraId="27FD18C4">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）供应商</w:t>
      </w:r>
      <w:r>
        <w:rPr>
          <w:rFonts w:hint="eastAsia" w:ascii="宋体" w:hAnsi="宋体" w:cs="宋体"/>
          <w:sz w:val="24"/>
        </w:rPr>
        <w:t>实验室有参加国家或</w:t>
      </w:r>
      <w:r>
        <w:rPr>
          <w:rFonts w:hint="eastAsia" w:ascii="宋体" w:hAnsi="宋体" w:cs="宋体"/>
          <w:color w:val="auto"/>
          <w:sz w:val="24"/>
          <w:highlight w:val="none"/>
        </w:rPr>
        <w:t>省</w:t>
      </w:r>
      <w:r>
        <w:rPr>
          <w:rFonts w:hint="eastAsia" w:ascii="宋体" w:hAnsi="宋体" w:cs="宋体"/>
          <w:color w:val="auto"/>
          <w:sz w:val="24"/>
          <w:highlight w:val="none"/>
          <w:lang w:eastAsia="zh-CN"/>
        </w:rPr>
        <w:t>级</w:t>
      </w:r>
      <w:r>
        <w:rPr>
          <w:rFonts w:hint="eastAsia" w:ascii="宋体" w:hAnsi="宋体" w:cs="宋体"/>
          <w:color w:val="auto"/>
          <w:sz w:val="24"/>
        </w:rPr>
        <w:t>临</w:t>
      </w:r>
      <w:r>
        <w:rPr>
          <w:rFonts w:hint="eastAsia" w:ascii="宋体" w:hAnsi="宋体" w:cs="宋体"/>
          <w:sz w:val="24"/>
        </w:rPr>
        <w:t>床检验中心组织的室间质评；</w:t>
      </w:r>
      <w:r>
        <w:rPr>
          <w:rFonts w:hint="eastAsia" w:ascii="宋体" w:hAnsi="宋体" w:cs="宋体"/>
          <w:sz w:val="24"/>
          <w:lang w:eastAsia="zh-CN"/>
        </w:rPr>
        <w:t>（提供证明材料）</w:t>
      </w:r>
      <w:bookmarkStart w:id="0" w:name="_GoBack"/>
      <w:bookmarkEnd w:id="0"/>
    </w:p>
    <w:p w14:paraId="63B1DF17">
      <w:pPr>
        <w:tabs>
          <w:tab w:val="left" w:pos="5325"/>
        </w:tabs>
        <w:snapToGrid w:val="0"/>
        <w:spacing w:line="360" w:lineRule="auto"/>
        <w:ind w:firstLine="480" w:firstLineChars="200"/>
        <w:contextualSpacing/>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）供应商</w:t>
      </w:r>
      <w:r>
        <w:rPr>
          <w:rFonts w:hint="eastAsia" w:ascii="宋体" w:hAnsi="宋体" w:cs="宋体"/>
          <w:sz w:val="24"/>
        </w:rPr>
        <w:t>实验室须具有临床检验中心颁发临床基因扩增检验实验室技术审核验收合格证书；</w:t>
      </w:r>
      <w:r>
        <w:rPr>
          <w:rFonts w:hint="eastAsia" w:ascii="宋体" w:hAnsi="宋体" w:cs="宋体"/>
          <w:sz w:val="24"/>
          <w:lang w:eastAsia="zh-CN"/>
        </w:rPr>
        <w:t>（提供证明材料）</w:t>
      </w:r>
    </w:p>
    <w:p w14:paraId="572226E9">
      <w:pPr>
        <w:tabs>
          <w:tab w:val="left" w:pos="5325"/>
        </w:tabs>
        <w:snapToGrid w:val="0"/>
        <w:spacing w:line="360" w:lineRule="auto"/>
        <w:ind w:left="220" w:firstLine="482" w:firstLineChars="200"/>
        <w:contextualSpacing/>
        <w:rPr>
          <w:rFonts w:hint="eastAsia"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w:t>
      </w:r>
      <w:r>
        <w:rPr>
          <w:rFonts w:hint="eastAsia" w:ascii="宋体" w:hAnsi="宋体" w:cs="宋体"/>
          <w:b/>
          <w:bCs/>
          <w:sz w:val="24"/>
        </w:rPr>
        <w:t>检验服务要求</w:t>
      </w:r>
    </w:p>
    <w:p w14:paraId="50035A01">
      <w:pPr>
        <w:tabs>
          <w:tab w:val="left" w:pos="5325"/>
        </w:tabs>
        <w:snapToGrid w:val="0"/>
        <w:spacing w:line="360" w:lineRule="auto"/>
        <w:ind w:left="220" w:leftChars="0" w:firstLine="199" w:firstLineChars="83"/>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医院负责样本的收集和存储，并注明样本的检测信息，如：患者基本信息表，采集时间等。</w:t>
      </w:r>
    </w:p>
    <w:p w14:paraId="1C534CAB">
      <w:pPr>
        <w:tabs>
          <w:tab w:val="left" w:pos="5325"/>
        </w:tabs>
        <w:snapToGrid w:val="0"/>
        <w:spacing w:line="360" w:lineRule="auto"/>
        <w:ind w:left="220" w:leftChars="0" w:firstLine="199" w:firstLineChars="83"/>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医院安排人员与</w:t>
      </w:r>
      <w:r>
        <w:rPr>
          <w:rFonts w:hint="eastAsia" w:ascii="宋体" w:hAnsi="宋体" w:cs="宋体"/>
          <w:sz w:val="24"/>
          <w:lang w:eastAsia="zh-CN"/>
        </w:rPr>
        <w:t>供应商</w:t>
      </w:r>
      <w:r>
        <w:rPr>
          <w:rFonts w:hint="eastAsia" w:ascii="宋体" w:hAnsi="宋体" w:cs="宋体"/>
          <w:sz w:val="24"/>
        </w:rPr>
        <w:t>进行样本的交接、签收工作。医院收集样本所需的耗材由</w:t>
      </w:r>
      <w:r>
        <w:rPr>
          <w:rFonts w:hint="eastAsia" w:ascii="宋体" w:hAnsi="宋体" w:cs="宋体"/>
          <w:sz w:val="24"/>
          <w:lang w:eastAsia="zh-CN"/>
        </w:rPr>
        <w:t>供应商</w:t>
      </w:r>
      <w:r>
        <w:rPr>
          <w:rFonts w:hint="eastAsia" w:ascii="宋体" w:hAnsi="宋体" w:cs="宋体"/>
          <w:sz w:val="24"/>
        </w:rPr>
        <w:t>提供。</w:t>
      </w:r>
    </w:p>
    <w:p w14:paraId="3612C4C6">
      <w:pPr>
        <w:numPr>
          <w:ilvl w:val="0"/>
          <w:numId w:val="0"/>
        </w:num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）供应商</w:t>
      </w:r>
      <w:r>
        <w:rPr>
          <w:rFonts w:hint="eastAsia" w:ascii="宋体" w:hAnsi="宋体" w:cs="宋体"/>
          <w:sz w:val="24"/>
        </w:rPr>
        <w:t>按医院要求，安排专人上门收取标本。若发现样本信息不一致、或样本不合格等异常情况，应及时通知医院重新确认送检信息，或重新采样等工作。</w:t>
      </w:r>
    </w:p>
    <w:p w14:paraId="7BD21547">
      <w:pPr>
        <w:numPr>
          <w:ilvl w:val="0"/>
          <w:numId w:val="0"/>
        </w:num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）供应商</w:t>
      </w:r>
      <w:r>
        <w:rPr>
          <w:rFonts w:hint="eastAsia" w:ascii="宋体" w:hAnsi="宋体" w:cs="宋体"/>
          <w:sz w:val="24"/>
        </w:rPr>
        <w:t>在收到样本后，根据收到的样本，及时安排样本检测，在收到样本之后</w:t>
      </w:r>
      <w:r>
        <w:rPr>
          <w:rFonts w:hint="eastAsia" w:ascii="宋体" w:hAnsi="宋体" w:cs="宋体"/>
          <w:color w:val="auto"/>
          <w:sz w:val="24"/>
        </w:rPr>
        <w:t>在</w:t>
      </w:r>
      <w:r>
        <w:rPr>
          <w:rFonts w:hint="eastAsia" w:ascii="宋体" w:hAnsi="宋体" w:cs="宋体"/>
          <w:color w:val="auto"/>
          <w:sz w:val="24"/>
          <w:lang w:eastAsia="zh-CN"/>
        </w:rPr>
        <w:t>七个自然</w:t>
      </w:r>
      <w:r>
        <w:rPr>
          <w:rFonts w:hint="eastAsia" w:ascii="宋体" w:hAnsi="宋体" w:cs="宋体"/>
          <w:color w:val="auto"/>
          <w:sz w:val="24"/>
        </w:rPr>
        <w:t>日内出具</w:t>
      </w:r>
      <w:r>
        <w:rPr>
          <w:rFonts w:hint="eastAsia" w:ascii="宋体" w:hAnsi="宋体" w:cs="宋体"/>
          <w:sz w:val="24"/>
        </w:rPr>
        <w:t>检测结果。</w:t>
      </w:r>
      <w:r>
        <w:rPr>
          <w:rFonts w:hint="eastAsia" w:ascii="宋体" w:hAnsi="宋体" w:cs="宋体"/>
          <w:sz w:val="24"/>
          <w:lang w:eastAsia="zh-CN"/>
        </w:rPr>
        <w:t>供应商</w:t>
      </w:r>
      <w:r>
        <w:rPr>
          <w:rFonts w:hint="eastAsia" w:ascii="宋体" w:hAnsi="宋体" w:cs="宋体"/>
          <w:sz w:val="24"/>
        </w:rPr>
        <w:t>未在规定时间内出具检测报告，应按合同约定对医院进行赔偿。</w:t>
      </w:r>
    </w:p>
    <w:p w14:paraId="38E7318A">
      <w:pPr>
        <w:numPr>
          <w:ilvl w:val="0"/>
          <w:numId w:val="0"/>
        </w:num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样本的保存：中标人应按国家和行业标准对样本进行保存。所有经过检测后的剩余样本，</w:t>
      </w:r>
      <w:r>
        <w:rPr>
          <w:rFonts w:hint="eastAsia" w:ascii="宋体" w:hAnsi="宋体" w:cs="宋体"/>
          <w:sz w:val="24"/>
          <w:lang w:eastAsia="zh-CN"/>
        </w:rPr>
        <w:t>供应商</w:t>
      </w:r>
      <w:r>
        <w:rPr>
          <w:rFonts w:hint="eastAsia" w:ascii="宋体" w:hAnsi="宋体" w:cs="宋体"/>
          <w:sz w:val="24"/>
        </w:rPr>
        <w:t>应做好保存工作，不能提供给医院以外的第三方。</w:t>
      </w:r>
    </w:p>
    <w:p w14:paraId="68ABF6FB">
      <w:pPr>
        <w:numPr>
          <w:ilvl w:val="0"/>
          <w:numId w:val="0"/>
        </w:num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如医院对检测结果有异议，将在收到检测报告之日起5个工作日内提出，中标</w:t>
      </w:r>
      <w:r>
        <w:rPr>
          <w:rFonts w:hint="eastAsia" w:ascii="宋体" w:hAnsi="宋体" w:cs="宋体"/>
          <w:sz w:val="24"/>
          <w:lang w:val="en-US" w:eastAsia="zh-CN"/>
        </w:rPr>
        <w:t>供应商</w:t>
      </w:r>
      <w:r>
        <w:rPr>
          <w:rFonts w:hint="eastAsia" w:ascii="宋体" w:hAnsi="宋体" w:cs="宋体"/>
          <w:sz w:val="24"/>
        </w:rPr>
        <w:t>应无条件免费重新检测。</w:t>
      </w:r>
    </w:p>
    <w:p w14:paraId="100BFC62">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）供应商</w:t>
      </w:r>
      <w:r>
        <w:rPr>
          <w:rFonts w:hint="eastAsia" w:ascii="宋体" w:hAnsi="宋体" w:cs="宋体"/>
          <w:sz w:val="24"/>
        </w:rPr>
        <w:t>不定期与医院就检测性能评估进行交流，改进检测方案。</w:t>
      </w:r>
    </w:p>
    <w:p w14:paraId="02B3DCA8">
      <w:pPr>
        <w:tabs>
          <w:tab w:val="left" w:pos="5325"/>
        </w:tabs>
        <w:snapToGrid w:val="0"/>
        <w:spacing w:line="360" w:lineRule="auto"/>
        <w:ind w:left="220" w:firstLine="482" w:firstLineChars="200"/>
        <w:contextualSpacing/>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、运输系统要求</w:t>
      </w:r>
    </w:p>
    <w:p w14:paraId="224471A3">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所有样本的运送必须符合样本温度的管理要求，采用相应物流箱配备数量满足标本转送要求。</w:t>
      </w:r>
    </w:p>
    <w:p w14:paraId="63F140F8">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样本交接及运送过程必须符合样本的安全管理要求。</w:t>
      </w:r>
    </w:p>
    <w:p w14:paraId="1F46D0A9">
      <w:pPr>
        <w:tabs>
          <w:tab w:val="left" w:pos="5325"/>
        </w:tabs>
        <w:snapToGrid w:val="0"/>
        <w:spacing w:line="360" w:lineRule="auto"/>
        <w:ind w:firstLine="480" w:firstLineChars="200"/>
        <w:contextualSpacing/>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所有样本的运送必须每日收取一次（节假日除外）</w:t>
      </w:r>
    </w:p>
    <w:p w14:paraId="1ED9233E">
      <w:pPr>
        <w:tabs>
          <w:tab w:val="left" w:pos="5325"/>
        </w:tabs>
        <w:snapToGrid w:val="0"/>
        <w:spacing w:line="360" w:lineRule="auto"/>
        <w:ind w:left="220" w:firstLine="482" w:firstLineChars="200"/>
        <w:contextualSpacing/>
        <w:rPr>
          <w:rFonts w:hint="eastAsia" w:ascii="宋体" w:hAnsi="宋体" w:cs="宋体"/>
          <w:b/>
          <w:bCs/>
          <w:sz w:val="24"/>
          <w:highlight w:val="none"/>
        </w:rPr>
      </w:pPr>
      <w:r>
        <w:rPr>
          <w:rFonts w:hint="eastAsia" w:ascii="宋体" w:hAnsi="宋体" w:cs="宋体"/>
          <w:b/>
          <w:bCs/>
          <w:sz w:val="24"/>
          <w:highlight w:val="none"/>
          <w:lang w:val="en-US" w:eastAsia="zh-CN"/>
        </w:rPr>
        <w:t>4、</w:t>
      </w:r>
      <w:r>
        <w:rPr>
          <w:rFonts w:hint="eastAsia" w:ascii="宋体" w:hAnsi="宋体" w:cs="宋体"/>
          <w:b/>
          <w:bCs/>
          <w:sz w:val="24"/>
          <w:highlight w:val="none"/>
        </w:rPr>
        <w:t>采购标的的验收标准</w:t>
      </w:r>
    </w:p>
    <w:p w14:paraId="45FF543F">
      <w:pPr>
        <w:tabs>
          <w:tab w:val="left" w:pos="5325"/>
        </w:tabs>
        <w:snapToGrid w:val="0"/>
        <w:spacing w:line="360" w:lineRule="auto"/>
        <w:ind w:left="220" w:firstLine="480" w:firstLineChars="200"/>
        <w:contextualSpacing/>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实验室质量控制体系情况（提供标本收集、储存、运送、接送等相关环节的质量控制相关文件制度）。</w:t>
      </w:r>
    </w:p>
    <w:p w14:paraId="54716CCF">
      <w:pPr>
        <w:tabs>
          <w:tab w:val="left" w:pos="5325"/>
        </w:tabs>
        <w:snapToGrid w:val="0"/>
        <w:spacing w:line="360" w:lineRule="auto"/>
        <w:ind w:left="220" w:firstLine="482" w:firstLineChars="200"/>
        <w:contextualSpacing/>
        <w:rPr>
          <w:rFonts w:hint="eastAsia"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采购标的的其他技术、服务等要求</w:t>
      </w:r>
    </w:p>
    <w:p w14:paraId="38E9CE5A">
      <w:pPr>
        <w:tabs>
          <w:tab w:val="left" w:pos="5325"/>
        </w:tabs>
        <w:snapToGrid w:val="0"/>
        <w:spacing w:line="360" w:lineRule="auto"/>
        <w:ind w:left="220" w:firstLine="480" w:firstLineChars="200"/>
        <w:contextualSpacing/>
        <w:rPr>
          <w:rFonts w:hint="eastAsia" w:ascii="宋体" w:hAnsi="宋体" w:cs="宋体"/>
          <w:sz w:val="24"/>
          <w:highlight w:val="none"/>
          <w:lang w:eastAsia="zh-CN"/>
        </w:rPr>
      </w:pPr>
      <w:r>
        <w:rPr>
          <w:rFonts w:hint="eastAsia" w:ascii="宋体" w:hAnsi="宋体" w:cs="宋体"/>
          <w:sz w:val="24"/>
          <w:highlight w:val="none"/>
        </w:rPr>
        <w:t>根据</w:t>
      </w:r>
      <w:r>
        <w:rPr>
          <w:rFonts w:hint="eastAsia" w:ascii="宋体" w:hAnsi="宋体" w:cs="宋体"/>
          <w:sz w:val="24"/>
          <w:highlight w:val="none"/>
          <w:lang w:eastAsia="zh-CN"/>
        </w:rPr>
        <w:t>供应商</w:t>
      </w:r>
      <w:r>
        <w:rPr>
          <w:rFonts w:hint="eastAsia" w:ascii="宋体" w:hAnsi="宋体" w:cs="宋体"/>
          <w:sz w:val="24"/>
          <w:highlight w:val="none"/>
        </w:rPr>
        <w:t>提供的特色服务承诺包括但不限于：</w:t>
      </w:r>
      <w:r>
        <w:rPr>
          <w:rFonts w:hint="eastAsia" w:ascii="宋体" w:hAnsi="宋体" w:cs="宋体"/>
          <w:color w:val="000000"/>
          <w:kern w:val="0"/>
          <w:sz w:val="24"/>
          <w:highlight w:val="none"/>
          <w:lang w:bidi="ar"/>
        </w:rPr>
        <w:t>远程病理诊断能力、病理结构化系统软著等服务，</w:t>
      </w:r>
      <w:r>
        <w:rPr>
          <w:rFonts w:hint="eastAsia" w:ascii="宋体" w:hAnsi="宋体" w:cs="宋体"/>
          <w:sz w:val="24"/>
          <w:highlight w:val="none"/>
        </w:rPr>
        <w:t>对提升病理科技术的有效性进行评议</w:t>
      </w:r>
      <w:r>
        <w:rPr>
          <w:rFonts w:hint="eastAsia" w:ascii="宋体" w:hAnsi="宋体" w:cs="宋体"/>
          <w:sz w:val="24"/>
          <w:highlight w:val="none"/>
          <w:lang w:eastAsia="zh-CN"/>
        </w:rPr>
        <w:t>。</w:t>
      </w:r>
    </w:p>
    <w:p w14:paraId="1513CC34"/>
    <w:p w14:paraId="2B1E6640">
      <w:pPr>
        <w:pStyle w:val="6"/>
      </w:pPr>
    </w:p>
    <w:p w14:paraId="0DCE9DEB">
      <w:pPr>
        <w:rPr>
          <w:rFonts w:hint="eastAsia" w:ascii="宋体" w:hAnsi="宋体" w:eastAsia="宋体" w:cs="宋体"/>
          <w:b/>
          <w:bCs/>
          <w:sz w:val="24"/>
          <w:szCs w:val="24"/>
          <w:highlight w:val="none"/>
          <w:lang w:val="en-US" w:eastAsia="zh-CN"/>
        </w:rPr>
      </w:pPr>
      <w:r>
        <w:rPr>
          <w:rFonts w:hint="eastAsia" w:eastAsia="宋体"/>
          <w:lang w:val="zh-CN" w:eastAsia="zh-CN"/>
        </w:rPr>
        <w:br w:type="page"/>
      </w:r>
    </w:p>
    <w:p w14:paraId="5FA4A82C">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ﾍ｣ﾓ ﾃｯ">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9419C"/>
    <w:multiLevelType w:val="multilevel"/>
    <w:tmpl w:val="2309419C"/>
    <w:lvl w:ilvl="0" w:tentative="0">
      <w:start w:val="1"/>
      <w:numFmt w:val="decimal"/>
      <w:isLgl/>
      <w:suff w:val="nothing"/>
      <w:lvlText w:val="%1、"/>
      <w:lvlJc w:val="left"/>
      <w:pPr>
        <w:tabs>
          <w:tab w:val="left" w:pos="0"/>
        </w:tabs>
        <w:ind w:left="0" w:firstLine="0"/>
      </w:pPr>
      <w:rPr>
        <w:rFonts w:hint="default" w:ascii="黑体" w:hAnsi="黑体" w:eastAsia="黑体" w:cs="黑体"/>
        <w:b/>
        <w:bCs/>
        <w:sz w:val="32"/>
        <w:szCs w:val="32"/>
      </w:rPr>
    </w:lvl>
    <w:lvl w:ilvl="1" w:tentative="0">
      <w:start w:val="1"/>
      <w:numFmt w:val="decimal"/>
      <w:lvlRestart w:val="0"/>
      <w:pStyle w:val="4"/>
      <w:isLgl/>
      <w:suff w:val="nothing"/>
      <w:lvlText w:val="%1.%2、"/>
      <w:lvlJc w:val="left"/>
      <w:pPr>
        <w:tabs>
          <w:tab w:val="left" w:pos="420"/>
        </w:tabs>
        <w:ind w:left="0" w:firstLine="0"/>
      </w:pPr>
      <w:rPr>
        <w:rFonts w:hint="default" w:ascii="仿宋" w:hAnsi="仿宋" w:eastAsia="仿宋" w:cs="仿宋"/>
        <w:b/>
        <w:bCs/>
        <w:sz w:val="28"/>
        <w:szCs w:val="28"/>
      </w:rPr>
    </w:lvl>
    <w:lvl w:ilvl="2" w:tentative="0">
      <w:start w:val="1"/>
      <w:numFmt w:val="decimal"/>
      <w:lvlRestart w:val="0"/>
      <w:isLgl/>
      <w:suff w:val="nothing"/>
      <w:lvlText w:val="%1.%2.%3、"/>
      <w:lvlJc w:val="left"/>
      <w:pPr>
        <w:tabs>
          <w:tab w:val="left" w:pos="0"/>
        </w:tabs>
        <w:ind w:left="0" w:firstLine="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94BA074"/>
    <w:multiLevelType w:val="singleLevel"/>
    <w:tmpl w:val="694BA07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0EAE"/>
    <w:rsid w:val="015205AE"/>
    <w:rsid w:val="01D905D5"/>
    <w:rsid w:val="039066B7"/>
    <w:rsid w:val="040524AF"/>
    <w:rsid w:val="04CE18AF"/>
    <w:rsid w:val="052328DF"/>
    <w:rsid w:val="05993F1E"/>
    <w:rsid w:val="06E67100"/>
    <w:rsid w:val="07015FE8"/>
    <w:rsid w:val="094B5833"/>
    <w:rsid w:val="09887DA0"/>
    <w:rsid w:val="099B0A4E"/>
    <w:rsid w:val="09B43AC6"/>
    <w:rsid w:val="09C36D4E"/>
    <w:rsid w:val="0FB334C5"/>
    <w:rsid w:val="0FBB7FF9"/>
    <w:rsid w:val="17D30190"/>
    <w:rsid w:val="182F19BB"/>
    <w:rsid w:val="188744BB"/>
    <w:rsid w:val="19564239"/>
    <w:rsid w:val="1C1B1B6B"/>
    <w:rsid w:val="1CFD5C7A"/>
    <w:rsid w:val="1DA91878"/>
    <w:rsid w:val="1DF423D0"/>
    <w:rsid w:val="1F8069B7"/>
    <w:rsid w:val="211C0F3F"/>
    <w:rsid w:val="259E7C57"/>
    <w:rsid w:val="28AD7C24"/>
    <w:rsid w:val="28F374D5"/>
    <w:rsid w:val="29EB7B48"/>
    <w:rsid w:val="2AEF6772"/>
    <w:rsid w:val="31087A95"/>
    <w:rsid w:val="33917F4A"/>
    <w:rsid w:val="339819C6"/>
    <w:rsid w:val="34691068"/>
    <w:rsid w:val="34DA4DBC"/>
    <w:rsid w:val="3B363277"/>
    <w:rsid w:val="3BB63723"/>
    <w:rsid w:val="3BC72B1D"/>
    <w:rsid w:val="3D3B65A9"/>
    <w:rsid w:val="3E3007DE"/>
    <w:rsid w:val="40AB1C6B"/>
    <w:rsid w:val="45545E99"/>
    <w:rsid w:val="46821A44"/>
    <w:rsid w:val="487F0C79"/>
    <w:rsid w:val="494B46A7"/>
    <w:rsid w:val="4CB22BAD"/>
    <w:rsid w:val="4CCE689C"/>
    <w:rsid w:val="50E925E9"/>
    <w:rsid w:val="5173580C"/>
    <w:rsid w:val="51D231BB"/>
    <w:rsid w:val="52FF3536"/>
    <w:rsid w:val="533D639C"/>
    <w:rsid w:val="558173B6"/>
    <w:rsid w:val="56274E90"/>
    <w:rsid w:val="571456F6"/>
    <w:rsid w:val="57D71A96"/>
    <w:rsid w:val="57FA3D86"/>
    <w:rsid w:val="58A15948"/>
    <w:rsid w:val="5C3D3CC3"/>
    <w:rsid w:val="5E8E347A"/>
    <w:rsid w:val="61016030"/>
    <w:rsid w:val="61D603F4"/>
    <w:rsid w:val="62EC22F7"/>
    <w:rsid w:val="63123F19"/>
    <w:rsid w:val="638330C5"/>
    <w:rsid w:val="63896F27"/>
    <w:rsid w:val="64D85EFD"/>
    <w:rsid w:val="651B533C"/>
    <w:rsid w:val="65982E30"/>
    <w:rsid w:val="67027444"/>
    <w:rsid w:val="67C53AF8"/>
    <w:rsid w:val="684C3BDE"/>
    <w:rsid w:val="69D053BA"/>
    <w:rsid w:val="6A315D44"/>
    <w:rsid w:val="6E4A1FF9"/>
    <w:rsid w:val="6E5D4C17"/>
    <w:rsid w:val="6F37424A"/>
    <w:rsid w:val="71DE0CD9"/>
    <w:rsid w:val="720C6738"/>
    <w:rsid w:val="725F5FAA"/>
    <w:rsid w:val="72CC4020"/>
    <w:rsid w:val="746D40AE"/>
    <w:rsid w:val="74C67D16"/>
    <w:rsid w:val="750666A0"/>
    <w:rsid w:val="76C57FFF"/>
    <w:rsid w:val="77697CBE"/>
    <w:rsid w:val="794836F9"/>
    <w:rsid w:val="7A304389"/>
    <w:rsid w:val="7FB0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val="0"/>
      <w:keepLines w:val="0"/>
      <w:widowControl w:val="0"/>
      <w:suppressLineNumbers w:val="0"/>
      <w:tabs>
        <w:tab w:val="left" w:pos="0"/>
      </w:tabs>
      <w:autoSpaceDE/>
      <w:autoSpaceDN/>
      <w:spacing w:before="100" w:beforeLines="100" w:beforeAutospacing="0" w:after="100" w:afterLines="100" w:afterAutospacing="0" w:line="360" w:lineRule="auto"/>
      <w:ind w:left="0" w:right="0" w:firstLine="0" w:firstLineChars="0"/>
      <w:jc w:val="left"/>
      <w:outlineLvl w:val="0"/>
    </w:pPr>
    <w:rPr>
      <w:rFonts w:hint="eastAsia" w:ascii="仿宋" w:hAnsi="仿宋" w:eastAsia="宋体" w:cs="仿宋"/>
      <w:b/>
      <w:bCs/>
      <w:sz w:val="32"/>
      <w:szCs w:val="44"/>
      <w:lang w:val="en-US" w:eastAsia="zh-CN" w:bidi="ar"/>
    </w:rPr>
  </w:style>
  <w:style w:type="paragraph" w:styleId="3">
    <w:name w:val="heading 2"/>
    <w:basedOn w:val="1"/>
    <w:next w:val="1"/>
    <w:link w:val="12"/>
    <w:semiHidden/>
    <w:unhideWhenUsed/>
    <w:qFormat/>
    <w:uiPriority w:val="0"/>
    <w:pPr>
      <w:keepNext w:val="0"/>
      <w:keepLines w:val="0"/>
      <w:widowControl w:val="0"/>
      <w:suppressLineNumbers w:val="0"/>
      <w:tabs>
        <w:tab w:val="left" w:pos="420"/>
      </w:tabs>
      <w:autoSpaceDE w:val="0"/>
      <w:autoSpaceDN w:val="0"/>
      <w:spacing w:before="100" w:beforeLines="100" w:beforeAutospacing="0" w:after="100" w:afterLines="100" w:afterAutospacing="0" w:line="560" w:lineRule="exact"/>
      <w:ind w:left="0" w:firstLine="0" w:firstLineChars="0"/>
      <w:jc w:val="left"/>
      <w:outlineLvl w:val="1"/>
    </w:pPr>
    <w:rPr>
      <w:rFonts w:hint="eastAsia" w:ascii="黑体" w:hAnsi="黑体" w:eastAsia="宋体" w:cs="黑体"/>
      <w:b/>
      <w:bCs/>
      <w:kern w:val="0"/>
      <w:sz w:val="24"/>
      <w:szCs w:val="32"/>
      <w:lang w:val="en-US" w:eastAsia="zh-CN" w:bidi="ar"/>
    </w:rPr>
  </w:style>
  <w:style w:type="paragraph" w:styleId="4">
    <w:name w:val="heading 3"/>
    <w:next w:val="1"/>
    <w:link w:val="14"/>
    <w:semiHidden/>
    <w:unhideWhenUsed/>
    <w:qFormat/>
    <w:uiPriority w:val="0"/>
    <w:pPr>
      <w:keepNext/>
      <w:keepLines/>
      <w:numPr>
        <w:ilvl w:val="1"/>
        <w:numId w:val="1"/>
      </w:numPr>
      <w:spacing w:before="320" w:after="200"/>
      <w:outlineLvl w:val="2"/>
    </w:pPr>
    <w:rPr>
      <w:rFonts w:ascii="Arial" w:hAnsi="Arial" w:eastAsia="宋体" w:cs="Arial"/>
      <w:b/>
      <w:sz w:val="24"/>
      <w:szCs w:val="30"/>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cs="Times New Roman"/>
      <w:b/>
      <w:sz w:val="24"/>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index 4"/>
    <w:basedOn w:val="1"/>
    <w:next w:val="1"/>
    <w:semiHidden/>
    <w:unhideWhenUsed/>
    <w:qFormat/>
    <w:uiPriority w:val="99"/>
    <w:pPr>
      <w:ind w:left="600" w:leftChars="600"/>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3"/>
    <w:qFormat/>
    <w:uiPriority w:val="0"/>
    <w:rPr>
      <w:rFonts w:ascii="Arial" w:hAnsi="Arial" w:eastAsia="宋体" w:cs="Arial"/>
      <w:b/>
      <w:kern w:val="2"/>
      <w:sz w:val="24"/>
      <w:lang w:val="en-US" w:eastAsia="zh-CN" w:bidi="ar-SA"/>
    </w:rPr>
  </w:style>
  <w:style w:type="character" w:customStyle="1" w:styleId="13">
    <w:name w:val="Heading 1 Char"/>
    <w:link w:val="2"/>
    <w:qFormat/>
    <w:uiPriority w:val="9"/>
    <w:rPr>
      <w:rFonts w:ascii="Arial" w:hAnsi="Arial" w:eastAsia="宋体" w:cs="Arial"/>
      <w:b/>
      <w:sz w:val="32"/>
      <w:szCs w:val="40"/>
      <w:lang w:val="en-US" w:eastAsia="zh-CN"/>
    </w:rPr>
  </w:style>
  <w:style w:type="character" w:customStyle="1" w:styleId="14">
    <w:name w:val="Heading 3 Char"/>
    <w:link w:val="4"/>
    <w:qFormat/>
    <w:uiPriority w:val="9"/>
    <w:rPr>
      <w:rFonts w:ascii="Arial" w:hAnsi="Arial" w:eastAsia="宋体" w:cs="Arial"/>
      <w:b/>
      <w:sz w:val="24"/>
      <w:szCs w:val="30"/>
    </w:rPr>
  </w:style>
  <w:style w:type="paragraph" w:customStyle="1" w:styleId="15">
    <w:name w:val="正文文本11"/>
    <w:basedOn w:val="1"/>
    <w:qFormat/>
    <w:uiPriority w:val="99"/>
    <w:rPr>
      <w:rFonts w:ascii="楷体_GB2312" w:hAnsi="宋体" w:eastAsia="楷体_GB2312"/>
      <w:sz w:val="28"/>
      <w:szCs w:val="28"/>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7">
    <w:name w:val="段"/>
    <w:next w:val="18"/>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18">
    <w:name w:val="正文 A"/>
    <w:next w:val="17"/>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19">
    <w:name w:val="Body text|2"/>
    <w:basedOn w:val="1"/>
    <w:qFormat/>
    <w:uiPriority w:val="0"/>
    <w:pPr>
      <w:spacing w:line="487" w:lineRule="exact"/>
      <w:ind w:firstLine="540"/>
    </w:pPr>
    <w:rPr>
      <w:rFonts w:ascii="宋体" w:hAnsi="宋体" w:cs="宋体"/>
      <w:lang w:val="zh-TW" w:eastAsia="zh-TW" w:bidi="zh-TW"/>
    </w:rPr>
  </w:style>
  <w:style w:type="paragraph" w:customStyle="1" w:styleId="20">
    <w:name w:val="无间隔11"/>
    <w:qFormat/>
    <w:uiPriority w:val="0"/>
    <w:rPr>
      <w:rFonts w:ascii="Times New Roman" w:hAnsi="Times New Roman" w:eastAsia="宋体" w:cs="Times New Roman"/>
      <w:sz w:val="22"/>
      <w:szCs w:val="22"/>
      <w:lang w:val="en-US" w:eastAsia="en-US" w:bidi="en-US"/>
    </w:rPr>
  </w:style>
  <w:style w:type="paragraph" w:customStyle="1" w:styleId="21">
    <w:name w:val="列出段落1"/>
    <w:basedOn w:val="1"/>
    <w:qFormat/>
    <w:uiPriority w:val="0"/>
    <w:pPr>
      <w:ind w:firstLine="420" w:firstLineChars="200"/>
    </w:pPr>
    <w:rPr>
      <w:rFonts w:ascii="Cambria" w:hAnsi="Cambria" w:eastAsia="｣ﾍ｣ﾓ ﾃｯ"/>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870</Words>
  <Characters>874</Characters>
  <Lines>0</Lines>
  <Paragraphs>0</Paragraphs>
  <TotalTime>0</TotalTime>
  <ScaleCrop>false</ScaleCrop>
  <LinksUpToDate>false</LinksUpToDate>
  <CharactersWithSpaces>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2022-08-16T07:56:00Z</dcterms:created>
  <dc:creator>DELL</dc:creator>
  <cp:lastModifiedBy>TX1showmAn</cp:lastModifiedBy>
  <dcterms:modified xsi:type="dcterms:W3CDTF">2026-03-11T00:44:52Z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638924501BCE4971BFEB198F5F9BBA88</vt:lpwstr>
  </property>
  <property fmtid="{D5CDD505-2E9C-101B-9397-08002B2CF9AE}" pid="4" name="KSOTemplateDocerSaveRecord">
    <vt:lpwstr>eyJoZGlkIjoiYzUxZGExNmM2YzUyNDJhZjFlODVhMGM1M2FhN2VmMjUiLCJ1c2VySWQiOiIyNzI1NDQ2NDgifQ==</vt:lpwstr>
  </property>
</Properties>
</file>